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80" w:rsidRPr="0062169E" w:rsidRDefault="000F3E80" w:rsidP="000F3E80">
      <w:pPr>
        <w:rPr>
          <w:rFonts w:cs="Tahoma"/>
        </w:rPr>
      </w:pPr>
    </w:p>
    <w:p w:rsidR="000F3E80" w:rsidRPr="00A35A07" w:rsidRDefault="000F3E80" w:rsidP="000F3E80">
      <w:pPr>
        <w:pStyle w:val="Titre1"/>
        <w:rPr>
          <w:sz w:val="20"/>
        </w:rPr>
      </w:pPr>
      <w:bookmarkStart w:id="0" w:name="_Toc453083578"/>
      <w:bookmarkStart w:id="1" w:name="_Toc453947156"/>
      <w:bookmarkStart w:id="2" w:name="_Toc454537466"/>
      <w:bookmarkStart w:id="3" w:name="_Toc470182204"/>
      <w:bookmarkStart w:id="4" w:name="_Toc453083604"/>
      <w:bookmarkStart w:id="5" w:name="_Toc453083574"/>
      <w:r w:rsidRPr="00B63987">
        <w:rPr>
          <w:snapToGrid/>
          <w:u w:val="single"/>
        </w:rPr>
        <w:t>ANNEXE 8</w:t>
      </w:r>
      <w:r w:rsidRPr="00A35A07">
        <w:rPr>
          <w:snapToGrid/>
        </w:rPr>
        <w:t> : CANEVAS DE R</w:t>
      </w:r>
      <w:r>
        <w:rPr>
          <w:snapToGrid/>
        </w:rPr>
        <w:t>APPORT ANNUEL DU</w:t>
      </w:r>
      <w:r w:rsidRPr="00A35A07">
        <w:rPr>
          <w:snapToGrid/>
        </w:rPr>
        <w:t xml:space="preserve"> PORTEFEUILLE</w:t>
      </w:r>
      <w:r w:rsidRPr="00A35A07">
        <w:t xml:space="preserve"> </w:t>
      </w:r>
      <w:r w:rsidRPr="0006043C">
        <w:rPr>
          <w:b w:val="0"/>
          <w:sz w:val="20"/>
          <w:vertAlign w:val="superscript"/>
        </w:rPr>
        <w:footnoteReference w:id="1"/>
      </w:r>
      <w:bookmarkEnd w:id="0"/>
      <w:bookmarkEnd w:id="1"/>
      <w:bookmarkEnd w:id="2"/>
      <w:bookmarkEnd w:id="3"/>
      <w:r w:rsidRPr="00A35A07">
        <w:rPr>
          <w:sz w:val="22"/>
        </w:rPr>
        <w:t xml:space="preserve"> </w:t>
      </w:r>
      <w:bookmarkStart w:id="6" w:name="_Toc229564763"/>
    </w:p>
    <w:p w:rsidR="000F3E80" w:rsidRPr="00A35A07" w:rsidRDefault="000F3E80" w:rsidP="000F3E80">
      <w:pPr>
        <w:rPr>
          <w:rFonts w:ascii="Verdana" w:hAnsi="Verdana" w:cs="Tahoma"/>
        </w:rPr>
      </w:pPr>
    </w:p>
    <w:p w:rsidR="000F3E80" w:rsidRPr="00FB5628" w:rsidRDefault="000F3E80" w:rsidP="000F3E80">
      <w:pPr>
        <w:rPr>
          <w:rFonts w:ascii="Verdana" w:hAnsi="Verdana" w:cs="Tahoma"/>
          <w:b/>
          <w:u w:val="single"/>
        </w:rPr>
      </w:pPr>
      <w:bookmarkStart w:id="7" w:name="_Toc345588930"/>
      <w:bookmarkStart w:id="8" w:name="_Toc453083579"/>
      <w:r w:rsidRPr="00FB5628">
        <w:rPr>
          <w:rFonts w:ascii="Verdana" w:hAnsi="Verdana" w:cs="Tahoma"/>
          <w:b/>
          <w:u w:val="single"/>
        </w:rPr>
        <w:t>Introduction</w:t>
      </w:r>
      <w:bookmarkEnd w:id="6"/>
      <w:bookmarkEnd w:id="7"/>
      <w:bookmarkEnd w:id="8"/>
    </w:p>
    <w:p w:rsidR="000F3E80" w:rsidRPr="00A35A07" w:rsidRDefault="000F3E80" w:rsidP="000F3E80">
      <w:pPr>
        <w:rPr>
          <w:rFonts w:ascii="Verdana" w:hAnsi="Verdana" w:cs="Tahoma"/>
        </w:rPr>
      </w:pPr>
    </w:p>
    <w:p w:rsidR="000F3E80" w:rsidRPr="00A35A07" w:rsidRDefault="000F3E80" w:rsidP="000F3E80">
      <w:pPr>
        <w:rPr>
          <w:rFonts w:ascii="Verdana" w:hAnsi="Verdana" w:cs="Tahoma"/>
        </w:rPr>
      </w:pPr>
      <w:r w:rsidRPr="00A35A07">
        <w:rPr>
          <w:rFonts w:ascii="Verdana" w:hAnsi="Verdana" w:cs="Tahoma"/>
        </w:rPr>
        <w:t>Brève présentation du portefeuille et des budgets alloués</w:t>
      </w:r>
    </w:p>
    <w:p w:rsidR="000F3E80" w:rsidRPr="00A35A07" w:rsidRDefault="000F3E80" w:rsidP="000F3E80">
      <w:pPr>
        <w:rPr>
          <w:rFonts w:ascii="Verdana" w:hAnsi="Verdana" w:cs="Tahoma"/>
          <w:b/>
        </w:rPr>
      </w:pPr>
    </w:p>
    <w:p w:rsidR="000F3E80" w:rsidRPr="00A35A07" w:rsidRDefault="000F3E80" w:rsidP="000F3E80">
      <w:pPr>
        <w:rPr>
          <w:rFonts w:ascii="Verdana" w:hAnsi="Verdana" w:cs="Tahoma"/>
          <w:b/>
        </w:rPr>
      </w:pPr>
    </w:p>
    <w:p w:rsidR="000F3E80" w:rsidRPr="00A35A07" w:rsidRDefault="000F3E80" w:rsidP="000F3E80">
      <w:pPr>
        <w:numPr>
          <w:ilvl w:val="0"/>
          <w:numId w:val="16"/>
        </w:numPr>
        <w:tabs>
          <w:tab w:val="left" w:pos="284"/>
        </w:tabs>
        <w:spacing w:line="240" w:lineRule="exact"/>
        <w:ind w:hanging="720"/>
        <w:rPr>
          <w:rFonts w:ascii="Verdana" w:hAnsi="Verdana" w:cs="Tahoma"/>
          <w:b/>
          <w:i/>
          <w:u w:val="single"/>
        </w:rPr>
      </w:pPr>
      <w:r w:rsidRPr="00A35A07">
        <w:rPr>
          <w:rFonts w:ascii="Verdana" w:hAnsi="Verdana" w:cs="Tahoma"/>
          <w:b/>
          <w:i/>
          <w:u w:val="single"/>
        </w:rPr>
        <w:t>Mise en œuvre du portefeuille</w:t>
      </w:r>
    </w:p>
    <w:p w:rsidR="000F3E80" w:rsidRPr="00A35A07" w:rsidRDefault="000F3E80" w:rsidP="000F3E80">
      <w:pPr>
        <w:rPr>
          <w:rFonts w:ascii="Verdana" w:hAnsi="Verdana" w:cs="Tahoma"/>
        </w:rPr>
      </w:pPr>
    </w:p>
    <w:p w:rsidR="000F3E80" w:rsidRPr="00A35A07" w:rsidRDefault="000F3E80" w:rsidP="000F3E80">
      <w:pPr>
        <w:rPr>
          <w:rFonts w:ascii="Verdana" w:hAnsi="Verdana" w:cs="Tahoma"/>
        </w:rPr>
      </w:pPr>
    </w:p>
    <w:p w:rsidR="000F3E80" w:rsidRPr="00A35A07" w:rsidRDefault="000F3E80" w:rsidP="000F3E80">
      <w:pPr>
        <w:rPr>
          <w:rFonts w:ascii="Verdana" w:hAnsi="Verdana" w:cs="Tahoma"/>
          <w:b/>
          <w:i/>
          <w:u w:val="single"/>
        </w:rPr>
      </w:pPr>
      <w:r w:rsidRPr="00A35A07">
        <w:rPr>
          <w:rFonts w:ascii="Verdana" w:hAnsi="Verdana" w:cs="Tahoma"/>
          <w:b/>
          <w:i/>
          <w:u w:val="single"/>
        </w:rPr>
        <w:t>1.1. Description de la mise en œuvre</w:t>
      </w:r>
    </w:p>
    <w:p w:rsidR="000F3E80" w:rsidRPr="00A35A07" w:rsidRDefault="000F3E80" w:rsidP="000F3E80">
      <w:pPr>
        <w:rPr>
          <w:rFonts w:ascii="Verdana" w:hAnsi="Verdana" w:cs="Tahoma"/>
        </w:rPr>
      </w:pPr>
    </w:p>
    <w:p w:rsidR="000F3E80" w:rsidRPr="00A35A07" w:rsidRDefault="000F3E80" w:rsidP="000F3E80">
      <w:pPr>
        <w:jc w:val="both"/>
        <w:rPr>
          <w:rFonts w:ascii="Verdana" w:hAnsi="Verdana" w:cs="Tahoma"/>
        </w:rPr>
      </w:pPr>
      <w:r w:rsidRPr="00A35A07">
        <w:rPr>
          <w:rFonts w:ascii="Verdana" w:hAnsi="Verdana" w:cs="Tahoma"/>
        </w:rPr>
        <w:t xml:space="preserve">Le rapport doit décrire, </w:t>
      </w:r>
      <w:r w:rsidRPr="00A35A07">
        <w:rPr>
          <w:rFonts w:ascii="Verdana" w:hAnsi="Verdana" w:cs="Tahoma"/>
          <w:u w:val="single"/>
        </w:rPr>
        <w:t>de manière générale et intégrée, pour l’ensemble du portefeuille</w:t>
      </w:r>
      <w:r w:rsidRPr="00A35A07">
        <w:rPr>
          <w:rFonts w:ascii="Verdana" w:hAnsi="Verdana" w:cs="Tahoma"/>
        </w:rPr>
        <w:t xml:space="preserve">, son état d’avancement pour l’année écoulée. Les principales activités, les résultats obtenus et les éléments marquants de l’année visée ainsi que leur relation avec les objectifs prévus dans la fiche-projet doivent y apparaître clairement.  </w:t>
      </w:r>
    </w:p>
    <w:p w:rsidR="000F3E80" w:rsidRPr="00A35A07" w:rsidRDefault="000F3E80" w:rsidP="000F3E80">
      <w:pPr>
        <w:jc w:val="both"/>
        <w:rPr>
          <w:rFonts w:ascii="Verdana" w:hAnsi="Verdana" w:cs="Tahoma"/>
        </w:rPr>
      </w:pPr>
    </w:p>
    <w:p w:rsidR="000F3E80" w:rsidRPr="00A35A07" w:rsidRDefault="000F3E80" w:rsidP="000F3E80">
      <w:pPr>
        <w:jc w:val="both"/>
        <w:rPr>
          <w:rFonts w:ascii="Verdana" w:hAnsi="Verdana" w:cs="Tahoma"/>
        </w:rPr>
      </w:pPr>
      <w:r w:rsidRPr="00A35A07">
        <w:rPr>
          <w:rFonts w:ascii="Verdana" w:hAnsi="Verdana" w:cs="Tahoma"/>
        </w:rPr>
        <w:t xml:space="preserve">En termes d’interactions entre les projets constituant le portefeuille, la dimension de portefeuille de projets intégrés telle que définie dans le Complément de programmation doit être transcendante. </w:t>
      </w:r>
    </w:p>
    <w:p w:rsidR="000F3E80" w:rsidRPr="00A35A07" w:rsidRDefault="000F3E80" w:rsidP="000F3E80">
      <w:pPr>
        <w:jc w:val="both"/>
        <w:rPr>
          <w:rFonts w:ascii="Verdana" w:hAnsi="Verdana" w:cs="Tahoma"/>
        </w:rPr>
      </w:pPr>
    </w:p>
    <w:p w:rsidR="000F3E80" w:rsidRPr="00A35A07" w:rsidRDefault="000F3E80" w:rsidP="000F3E80">
      <w:pPr>
        <w:jc w:val="both"/>
        <w:rPr>
          <w:rFonts w:ascii="Verdana" w:hAnsi="Verdana" w:cs="Tahoma"/>
        </w:rPr>
      </w:pPr>
      <w:r w:rsidRPr="00A35A07">
        <w:rPr>
          <w:rFonts w:ascii="Verdana" w:hAnsi="Verdana" w:cs="Tahoma"/>
        </w:rPr>
        <w:t xml:space="preserve">Le cas échéant, en cohérence avec le plan d’actions approuvé par le Comité d’accompagnement, les raisons pour lesquelles certaines étapes du calendrier de réalisation de la fiche-projet n’ont pu être mises en œuvre ou ont pris du retard doivent y être indiquées. </w:t>
      </w:r>
    </w:p>
    <w:p w:rsidR="000F3E80" w:rsidRPr="00A35A07" w:rsidRDefault="000F3E80" w:rsidP="000F3E80">
      <w:pPr>
        <w:jc w:val="both"/>
        <w:rPr>
          <w:rFonts w:ascii="Verdana" w:hAnsi="Verdana" w:cs="Tahoma"/>
        </w:rPr>
      </w:pPr>
    </w:p>
    <w:p w:rsidR="000F3E80" w:rsidRPr="00A35A07" w:rsidRDefault="000F3E80" w:rsidP="000F3E80">
      <w:pPr>
        <w:jc w:val="both"/>
        <w:rPr>
          <w:rFonts w:ascii="Verdana" w:hAnsi="Verdana" w:cs="Tahoma"/>
        </w:rPr>
      </w:pPr>
      <w:r w:rsidRPr="00A35A07">
        <w:rPr>
          <w:rFonts w:ascii="Verdana" w:hAnsi="Verdana" w:cs="Tahoma"/>
        </w:rPr>
        <w:t xml:space="preserve">Dans le cas où des adaptations du projet ou de sa mise en œuvre ont été jugées nécessaires, ces dernières ainsi que leur justification sont explicitées. </w:t>
      </w:r>
    </w:p>
    <w:p w:rsidR="000F3E80" w:rsidRPr="00A35A07" w:rsidRDefault="000F3E80" w:rsidP="000F3E80">
      <w:pPr>
        <w:jc w:val="both"/>
        <w:rPr>
          <w:rFonts w:ascii="Verdana" w:hAnsi="Verdana" w:cs="Tahoma"/>
        </w:rPr>
      </w:pPr>
    </w:p>
    <w:p w:rsidR="000F3E80" w:rsidRPr="00A35A07" w:rsidRDefault="000F3E80" w:rsidP="000F3E80">
      <w:pPr>
        <w:jc w:val="both"/>
        <w:rPr>
          <w:rFonts w:ascii="Verdana" w:hAnsi="Verdana" w:cs="Tahoma"/>
          <w:i/>
        </w:rPr>
      </w:pPr>
      <w:r w:rsidRPr="00A35A07">
        <w:rPr>
          <w:rFonts w:ascii="Verdana" w:hAnsi="Verdana" w:cs="Tahoma"/>
        </w:rPr>
        <w:t>En complément aux informations quant aux réalisations, des précisions jugées pertinentes pour la bonne compréhension du document doivent être mentionnées (ex. : un contexte particulier dans lequel s’inscrit le projet, …) ainsi que les perspectives du portefeuille pour l’année à venir.</w:t>
      </w:r>
      <w:r w:rsidRPr="00A35A07">
        <w:rPr>
          <w:rFonts w:ascii="Verdana" w:hAnsi="Verdana" w:cs="Tahoma"/>
          <w:i/>
        </w:rPr>
        <w:t xml:space="preserve"> </w:t>
      </w:r>
    </w:p>
    <w:p w:rsidR="000F3E80" w:rsidRPr="00E6511E" w:rsidRDefault="000F3E80" w:rsidP="000F3E80">
      <w:pPr>
        <w:pStyle w:val="Corpsdetexte2"/>
        <w:spacing w:before="240"/>
        <w:rPr>
          <w:rFonts w:cs="Tahoma"/>
          <w:snapToGrid/>
        </w:rPr>
      </w:pPr>
      <w:r w:rsidRPr="002E4224">
        <w:rPr>
          <w:rFonts w:cs="Tahoma"/>
          <w:snapToGrid/>
        </w:rPr>
        <w:t xml:space="preserve">Le </w:t>
      </w:r>
      <w:r>
        <w:rPr>
          <w:rFonts w:cs="Tahoma"/>
          <w:snapToGrid/>
        </w:rPr>
        <w:t>c</w:t>
      </w:r>
      <w:r w:rsidRPr="002E4224">
        <w:rPr>
          <w:rFonts w:cs="Tahoma"/>
          <w:snapToGrid/>
        </w:rPr>
        <w:t>hef de file et les bénéficiaires sont également invités à intégrer un reportage photographique des travaux (avant/après) ou des illustrations des actions ou animations liées à la réalisation du projet.</w:t>
      </w:r>
      <w:r w:rsidRPr="00E6511E">
        <w:rPr>
          <w:rFonts w:cs="Tahoma"/>
          <w:snapToGrid/>
        </w:rPr>
        <w:t xml:space="preserve"> </w:t>
      </w:r>
    </w:p>
    <w:p w:rsidR="000F3E80" w:rsidRPr="00A35A07" w:rsidRDefault="000F3E80" w:rsidP="000F3E80">
      <w:pPr>
        <w:ind w:left="360"/>
        <w:jc w:val="both"/>
        <w:rPr>
          <w:rFonts w:ascii="Verdana" w:hAnsi="Verdana" w:cs="Tahoma"/>
        </w:rPr>
      </w:pPr>
    </w:p>
    <w:p w:rsidR="000F3E80" w:rsidRPr="00A35A07" w:rsidRDefault="000F3E80" w:rsidP="000F3E80">
      <w:pPr>
        <w:rPr>
          <w:rFonts w:ascii="Verdana" w:hAnsi="Verdana" w:cs="Tahoma"/>
          <w:b/>
          <w:i/>
          <w:u w:val="single"/>
        </w:rPr>
      </w:pPr>
      <w:r w:rsidRPr="00A35A07">
        <w:rPr>
          <w:rFonts w:ascii="Verdana" w:hAnsi="Verdana" w:cs="Tahoma"/>
          <w:b/>
          <w:i/>
          <w:u w:val="single"/>
        </w:rPr>
        <w:t>1.2. Facteurs bloquants et facilitateurs lors de la mise en œuvre</w:t>
      </w:r>
    </w:p>
    <w:p w:rsidR="000F3E80" w:rsidRPr="00A35A07" w:rsidRDefault="000F3E80" w:rsidP="000F3E80">
      <w:pPr>
        <w:tabs>
          <w:tab w:val="left" w:pos="426"/>
        </w:tabs>
        <w:spacing w:line="240" w:lineRule="exact"/>
        <w:ind w:left="720"/>
        <w:rPr>
          <w:rFonts w:ascii="Verdana" w:hAnsi="Verdana" w:cs="Tahoma"/>
          <w:lang w:val="fr-BE"/>
        </w:rPr>
      </w:pPr>
    </w:p>
    <w:p w:rsidR="000F3E80" w:rsidRPr="00A35A07" w:rsidRDefault="000F3E80" w:rsidP="000F3E80">
      <w:pPr>
        <w:pStyle w:val="Pieddepage"/>
        <w:tabs>
          <w:tab w:val="clear" w:pos="4536"/>
          <w:tab w:val="clear" w:pos="9072"/>
        </w:tabs>
        <w:rPr>
          <w:rFonts w:cs="Tahoma"/>
          <w:lang w:val="fr-BE"/>
        </w:rPr>
      </w:pPr>
      <w:r w:rsidRPr="00A35A07">
        <w:rPr>
          <w:rFonts w:cs="Tahoma"/>
          <w:lang w:val="fr-BE"/>
        </w:rPr>
        <w:t xml:space="preserve">Les facteurs bloquants et facilitateurs sont des éléments qui, par leur présence, ont des implications sur la manière d’orienter les actions afin d’atteindre le résultat escompté dans la fiche-projet à savoir la réalisation du projet dans les délais et selon les moyens prévus. </w:t>
      </w:r>
      <w:r w:rsidRPr="00A35A07">
        <w:rPr>
          <w:rFonts w:cs="Tahoma"/>
        </w:rPr>
        <w:t>Cela peut concerner le contenu des projets, les partenariats, les budgets, les politiques communautaires ou être de toute autre nature.</w:t>
      </w:r>
    </w:p>
    <w:p w:rsidR="000F3E80" w:rsidRPr="00A35A07" w:rsidRDefault="000F3E80" w:rsidP="000F3E80">
      <w:pPr>
        <w:pStyle w:val="Pieddepage"/>
        <w:tabs>
          <w:tab w:val="clear" w:pos="4536"/>
          <w:tab w:val="clear" w:pos="9072"/>
        </w:tabs>
        <w:rPr>
          <w:rFonts w:cs="Tahoma"/>
          <w:lang w:val="fr-BE"/>
        </w:rPr>
      </w:pPr>
    </w:p>
    <w:p w:rsidR="000F3E80" w:rsidRDefault="000F3E80" w:rsidP="000F3E80">
      <w:pPr>
        <w:pStyle w:val="Pieddepage"/>
        <w:tabs>
          <w:tab w:val="clear" w:pos="4536"/>
          <w:tab w:val="clear" w:pos="9072"/>
        </w:tabs>
        <w:rPr>
          <w:rFonts w:cs="Tahoma"/>
        </w:rPr>
      </w:pPr>
      <w:r w:rsidRPr="00A35A07">
        <w:rPr>
          <w:rFonts w:cs="Tahoma"/>
          <w:lang w:val="fr-BE"/>
        </w:rPr>
        <w:t>Il est demandé de mentionner</w:t>
      </w:r>
      <w:r w:rsidRPr="00A35A07">
        <w:rPr>
          <w:rFonts w:cs="Tahoma"/>
        </w:rPr>
        <w:t xml:space="preserve"> </w:t>
      </w:r>
      <w:r w:rsidRPr="00A35A07">
        <w:rPr>
          <w:rFonts w:cs="Tahoma"/>
          <w:u w:val="single"/>
        </w:rPr>
        <w:t>brièvement</w:t>
      </w:r>
      <w:r w:rsidRPr="00A35A07">
        <w:rPr>
          <w:rFonts w:cs="Tahoma"/>
        </w:rPr>
        <w:t xml:space="preserve"> les problèmes ou les facilités éventuelles rencontrées dans la mise en œuvre du portefeuille pendant l’année écoulée ainsi que les adaptations apportées au projet. </w:t>
      </w:r>
    </w:p>
    <w:p w:rsidR="00E34375" w:rsidRPr="00A35A07" w:rsidRDefault="00E34375" w:rsidP="000F3E80">
      <w:pPr>
        <w:pStyle w:val="Pieddepage"/>
        <w:tabs>
          <w:tab w:val="clear" w:pos="4536"/>
          <w:tab w:val="clear" w:pos="9072"/>
        </w:tabs>
        <w:rPr>
          <w:rFonts w:cs="Tahoma"/>
          <w:lang w:val="fr-BE"/>
        </w:rPr>
      </w:pPr>
    </w:p>
    <w:p w:rsidR="000F3E80" w:rsidRPr="00A35A07" w:rsidRDefault="000F3E80" w:rsidP="000F3E80">
      <w:pPr>
        <w:spacing w:line="240" w:lineRule="exact"/>
        <w:rPr>
          <w:rFonts w:ascii="Verdana" w:hAnsi="Verdana" w:cs="Tahoma"/>
          <w:b/>
          <w:i/>
          <w:u w:val="single"/>
        </w:rPr>
      </w:pPr>
    </w:p>
    <w:p w:rsidR="000F3E80" w:rsidRPr="00A35A07" w:rsidRDefault="00953DE1" w:rsidP="000F3E80">
      <w:pPr>
        <w:tabs>
          <w:tab w:val="left" w:pos="284"/>
        </w:tabs>
        <w:spacing w:line="240" w:lineRule="exact"/>
        <w:rPr>
          <w:rFonts w:ascii="Verdana" w:hAnsi="Verdana" w:cs="Tahoma"/>
          <w:b/>
          <w:i/>
          <w:u w:val="single"/>
        </w:rPr>
      </w:pPr>
      <w:r>
        <w:rPr>
          <w:rFonts w:ascii="Verdana" w:hAnsi="Verdana" w:cs="Tahoma"/>
          <w:b/>
          <w:i/>
          <w:u w:val="single"/>
        </w:rPr>
        <w:t>2</w:t>
      </w:r>
      <w:r w:rsidR="000F3E80" w:rsidRPr="00A35A07">
        <w:rPr>
          <w:rFonts w:ascii="Verdana" w:hAnsi="Verdana" w:cs="Tahoma"/>
          <w:b/>
          <w:i/>
          <w:u w:val="single"/>
        </w:rPr>
        <w:t>. Résultats obtenus par le portefeuille</w:t>
      </w:r>
    </w:p>
    <w:p w:rsidR="000F3E80" w:rsidRPr="00A35A07" w:rsidRDefault="000F3E80" w:rsidP="000F3E80">
      <w:pPr>
        <w:tabs>
          <w:tab w:val="left" w:pos="426"/>
        </w:tabs>
        <w:spacing w:line="240" w:lineRule="exact"/>
        <w:ind w:left="720"/>
        <w:rPr>
          <w:rFonts w:ascii="Verdana" w:hAnsi="Verdana" w:cs="Tahoma"/>
          <w:b/>
          <w:u w:val="single"/>
        </w:rPr>
      </w:pPr>
    </w:p>
    <w:p w:rsidR="00CC3B84" w:rsidRDefault="00953DE1" w:rsidP="000F3E80">
      <w:pPr>
        <w:tabs>
          <w:tab w:val="left" w:pos="426"/>
        </w:tabs>
        <w:spacing w:line="240" w:lineRule="exact"/>
        <w:jc w:val="both"/>
        <w:rPr>
          <w:rFonts w:ascii="Verdana" w:hAnsi="Verdana" w:cs="Tahoma"/>
        </w:rPr>
      </w:pPr>
      <w:r>
        <w:rPr>
          <w:rFonts w:ascii="Verdana" w:hAnsi="Verdana" w:cs="Tahoma"/>
        </w:rPr>
        <w:t xml:space="preserve">Dans cette section, il n’est pas nécessaire de fournir un tableau détaillé reprenant le contenu du rapport sur </w:t>
      </w:r>
      <w:r w:rsidR="000F3E80">
        <w:rPr>
          <w:rFonts w:ascii="Verdana" w:hAnsi="Verdana" w:cs="Tahoma"/>
        </w:rPr>
        <w:t>l</w:t>
      </w:r>
      <w:r w:rsidR="000F3E80" w:rsidRPr="00A35A07">
        <w:rPr>
          <w:rFonts w:ascii="Verdana" w:hAnsi="Verdana" w:cs="Tahoma"/>
        </w:rPr>
        <w:t>es indicateurs</w:t>
      </w:r>
      <w:r w:rsidR="000F3E80">
        <w:rPr>
          <w:rFonts w:ascii="Verdana" w:hAnsi="Verdana" w:cs="Tahoma"/>
        </w:rPr>
        <w:t xml:space="preserve"> de réalisation et de résultat</w:t>
      </w:r>
      <w:r w:rsidR="00E27A2A">
        <w:rPr>
          <w:rFonts w:ascii="Verdana" w:hAnsi="Verdana" w:cs="Tahoma"/>
        </w:rPr>
        <w:t>, celui-ci ayant déjà été</w:t>
      </w:r>
      <w:r>
        <w:rPr>
          <w:rFonts w:ascii="Verdana" w:hAnsi="Verdana" w:cs="Tahoma"/>
        </w:rPr>
        <w:t xml:space="preserve"> transmis via la base de données EUROGES 2014 pour le 31 janvier de l’année en cours (état au 31 décembre de l’année </w:t>
      </w:r>
      <w:r w:rsidR="00ED777A">
        <w:rPr>
          <w:rFonts w:ascii="Verdana" w:hAnsi="Verdana" w:cs="Tahoma"/>
        </w:rPr>
        <w:t>écoulée</w:t>
      </w:r>
      <w:r>
        <w:rPr>
          <w:rFonts w:ascii="Verdana" w:hAnsi="Verdana" w:cs="Tahoma"/>
        </w:rPr>
        <w:t>)</w:t>
      </w:r>
      <w:r w:rsidR="00ED777A">
        <w:rPr>
          <w:rFonts w:ascii="Verdana" w:hAnsi="Verdana" w:cs="Tahoma"/>
        </w:rPr>
        <w:t>.</w:t>
      </w:r>
      <w:r w:rsidR="00035935">
        <w:rPr>
          <w:rFonts w:ascii="Verdana" w:hAnsi="Verdana" w:cs="Tahoma"/>
        </w:rPr>
        <w:t xml:space="preserve"> </w:t>
      </w:r>
    </w:p>
    <w:p w:rsidR="00CC3B84" w:rsidRDefault="00CC3B84" w:rsidP="000F3E80">
      <w:pPr>
        <w:tabs>
          <w:tab w:val="left" w:pos="426"/>
        </w:tabs>
        <w:spacing w:line="240" w:lineRule="exact"/>
        <w:jc w:val="both"/>
        <w:rPr>
          <w:rFonts w:ascii="Verdana" w:hAnsi="Verdana" w:cs="Tahoma"/>
        </w:rPr>
      </w:pPr>
    </w:p>
    <w:p w:rsidR="000F3E80" w:rsidRPr="00A35A07" w:rsidRDefault="00035935" w:rsidP="000F3E80">
      <w:pPr>
        <w:tabs>
          <w:tab w:val="left" w:pos="426"/>
        </w:tabs>
        <w:spacing w:line="240" w:lineRule="exact"/>
        <w:jc w:val="both"/>
        <w:rPr>
          <w:rFonts w:ascii="Verdana" w:hAnsi="Verdana" w:cs="Tahoma"/>
        </w:rPr>
      </w:pPr>
      <w:r>
        <w:rPr>
          <w:rFonts w:ascii="Verdana" w:hAnsi="Verdana" w:cs="Tahoma"/>
        </w:rPr>
        <w:t>I</w:t>
      </w:r>
      <w:r w:rsidR="000F3E80" w:rsidRPr="00A35A07">
        <w:rPr>
          <w:rFonts w:ascii="Verdana" w:hAnsi="Verdana" w:cs="Tahoma"/>
        </w:rPr>
        <w:t>l est</w:t>
      </w:r>
      <w:r>
        <w:rPr>
          <w:rFonts w:ascii="Verdana" w:hAnsi="Verdana" w:cs="Tahoma"/>
        </w:rPr>
        <w:t xml:space="preserve"> cependant</w:t>
      </w:r>
      <w:r w:rsidR="000F3E80" w:rsidRPr="00A35A07">
        <w:rPr>
          <w:rFonts w:ascii="Verdana" w:hAnsi="Verdana" w:cs="Tahoma"/>
        </w:rPr>
        <w:t xml:space="preserve"> recommandé de mentionner</w:t>
      </w:r>
      <w:r w:rsidR="00E27A2A">
        <w:rPr>
          <w:rFonts w:ascii="Verdana" w:hAnsi="Verdana" w:cs="Tahoma"/>
        </w:rPr>
        <w:t xml:space="preserve"> ici</w:t>
      </w:r>
      <w:r w:rsidR="000F3E80" w:rsidRPr="00A35A07">
        <w:rPr>
          <w:rFonts w:ascii="Verdana" w:hAnsi="Verdana" w:cs="Tahoma"/>
        </w:rPr>
        <w:t xml:space="preserve"> </w:t>
      </w:r>
      <w:r w:rsidR="000F3E80" w:rsidRPr="00A35A07">
        <w:rPr>
          <w:rFonts w:ascii="Verdana" w:hAnsi="Verdana" w:cs="Tahoma"/>
          <w:b/>
        </w:rPr>
        <w:t>les effets</w:t>
      </w:r>
      <w:r w:rsidR="000F3E80">
        <w:rPr>
          <w:rFonts w:ascii="Verdana" w:hAnsi="Verdana" w:cs="Tahoma"/>
          <w:b/>
        </w:rPr>
        <w:t xml:space="preserve"> et</w:t>
      </w:r>
      <w:r w:rsidR="000F3E80" w:rsidRPr="00A35A07">
        <w:rPr>
          <w:rFonts w:ascii="Verdana" w:hAnsi="Verdana" w:cs="Tahoma"/>
          <w:b/>
        </w:rPr>
        <w:t xml:space="preserve"> les impacts </w:t>
      </w:r>
      <w:r w:rsidR="000F3E80" w:rsidRPr="00A35A07">
        <w:rPr>
          <w:rFonts w:ascii="Verdana" w:hAnsi="Verdana" w:cs="Tahoma"/>
        </w:rPr>
        <w:t xml:space="preserve">à la fois quantitatifs et qualitatifs engendrés par </w:t>
      </w:r>
      <w:r w:rsidR="000F3E80">
        <w:rPr>
          <w:rFonts w:ascii="Verdana" w:hAnsi="Verdana" w:cs="Tahoma"/>
        </w:rPr>
        <w:t>les</w:t>
      </w:r>
      <w:r w:rsidR="000F3E80" w:rsidRPr="00A35A07">
        <w:rPr>
          <w:rFonts w:ascii="Verdana" w:hAnsi="Verdana" w:cs="Tahoma"/>
        </w:rPr>
        <w:t xml:space="preserve"> projet</w:t>
      </w:r>
      <w:r w:rsidR="000F3E80">
        <w:rPr>
          <w:rFonts w:ascii="Verdana" w:hAnsi="Verdana" w:cs="Tahoma"/>
        </w:rPr>
        <w:t>s</w:t>
      </w:r>
      <w:r w:rsidR="000F3E80" w:rsidRPr="00A35A07">
        <w:rPr>
          <w:rFonts w:ascii="Verdana" w:hAnsi="Verdana" w:cs="Tahoma"/>
        </w:rPr>
        <w:t xml:space="preserve"> et tout autre élément pertinent et s</w:t>
      </w:r>
      <w:r w:rsidR="000F3E80">
        <w:rPr>
          <w:rFonts w:ascii="Verdana" w:hAnsi="Verdana" w:cs="Tahoma"/>
        </w:rPr>
        <w:t>ignificatif pour la promotion des</w:t>
      </w:r>
      <w:r w:rsidR="000F3E80" w:rsidRPr="00A35A07">
        <w:rPr>
          <w:rFonts w:ascii="Verdana" w:hAnsi="Verdana" w:cs="Tahoma"/>
        </w:rPr>
        <w:t xml:space="preserve"> projet</w:t>
      </w:r>
      <w:r w:rsidR="000F3E80">
        <w:rPr>
          <w:rFonts w:ascii="Verdana" w:hAnsi="Verdana" w:cs="Tahoma"/>
        </w:rPr>
        <w:t>s</w:t>
      </w:r>
      <w:r w:rsidR="000F3E80" w:rsidRPr="00A35A07">
        <w:rPr>
          <w:rFonts w:ascii="Verdana" w:hAnsi="Verdana" w:cs="Tahoma"/>
        </w:rPr>
        <w:t>.</w:t>
      </w:r>
      <w:r w:rsidR="00ED777A">
        <w:rPr>
          <w:rFonts w:ascii="Verdana" w:hAnsi="Verdana" w:cs="Tahoma"/>
        </w:rPr>
        <w:t xml:space="preserve"> </w:t>
      </w:r>
    </w:p>
    <w:p w:rsidR="000F3E80" w:rsidRDefault="000F3E80" w:rsidP="000F3E80">
      <w:pPr>
        <w:tabs>
          <w:tab w:val="left" w:pos="0"/>
        </w:tabs>
        <w:spacing w:line="240" w:lineRule="exact"/>
        <w:jc w:val="both"/>
        <w:rPr>
          <w:rFonts w:ascii="Verdana" w:hAnsi="Verdana" w:cs="Tahoma"/>
        </w:rPr>
      </w:pPr>
    </w:p>
    <w:p w:rsidR="000F3E80" w:rsidRDefault="000F3E80" w:rsidP="000F3E80">
      <w:pPr>
        <w:tabs>
          <w:tab w:val="left" w:pos="0"/>
        </w:tabs>
        <w:spacing w:line="240" w:lineRule="exact"/>
        <w:jc w:val="both"/>
        <w:rPr>
          <w:rFonts w:ascii="Verdana" w:hAnsi="Verdana" w:cs="Tahoma"/>
          <w:i/>
        </w:rPr>
      </w:pPr>
      <w:r>
        <w:rPr>
          <w:rFonts w:ascii="Verdana" w:hAnsi="Verdana" w:cs="Tahoma"/>
        </w:rPr>
        <w:t>E</w:t>
      </w:r>
      <w:r w:rsidRPr="00A35A07">
        <w:rPr>
          <w:rFonts w:ascii="Verdana" w:hAnsi="Verdana" w:cs="Tahoma"/>
        </w:rPr>
        <w:t>xemple : développement du commerce local, création indirecte d’emploi dans la zone, collaborations ou partenariats développés avec des entreprises ou d’autres structures et organismes, économie d’énergie réalisée, diffusion des connaissances,</w:t>
      </w:r>
      <w:r>
        <w:rPr>
          <w:rFonts w:ascii="Verdana" w:hAnsi="Verdana" w:cs="Tahoma"/>
        </w:rPr>
        <w:t xml:space="preserve"> attractivité, mobilité,</w:t>
      </w:r>
      <w:r w:rsidRPr="00A35A07">
        <w:rPr>
          <w:rFonts w:ascii="Verdana" w:hAnsi="Verdana" w:cs="Tahoma"/>
        </w:rPr>
        <w:t xml:space="preserve"> …</w:t>
      </w:r>
      <w:r w:rsidRPr="00A35A07">
        <w:rPr>
          <w:rFonts w:ascii="Verdana" w:hAnsi="Verdana" w:cs="Tahoma"/>
          <w:i/>
        </w:rPr>
        <w:t xml:space="preserve">. </w:t>
      </w:r>
    </w:p>
    <w:p w:rsidR="00ED777A" w:rsidRPr="00A35A07" w:rsidRDefault="00ED777A" w:rsidP="00ED777A">
      <w:pPr>
        <w:tabs>
          <w:tab w:val="left" w:pos="0"/>
        </w:tabs>
        <w:spacing w:line="240" w:lineRule="exact"/>
        <w:jc w:val="both"/>
        <w:rPr>
          <w:rFonts w:ascii="Verdana" w:hAnsi="Verdana" w:cs="Tahoma"/>
          <w:i/>
        </w:rPr>
      </w:pPr>
    </w:p>
    <w:p w:rsidR="00E40686" w:rsidRDefault="00ED777A">
      <w:pPr>
        <w:tabs>
          <w:tab w:val="left" w:pos="426"/>
        </w:tabs>
        <w:spacing w:line="240" w:lineRule="exact"/>
        <w:jc w:val="both"/>
        <w:rPr>
          <w:rFonts w:ascii="Verdana" w:hAnsi="Verdana" w:cs="Tahoma"/>
        </w:rPr>
      </w:pPr>
      <w:r>
        <w:rPr>
          <w:rFonts w:ascii="Verdana" w:hAnsi="Verdana" w:cs="Tahoma"/>
        </w:rPr>
        <w:t xml:space="preserve">Une liste de questions sur les impacts des projets FEDER se trouve, en guise d’exemple, en annexe 9 du </w:t>
      </w:r>
      <w:proofErr w:type="spellStart"/>
      <w:r>
        <w:rPr>
          <w:rFonts w:ascii="Verdana" w:hAnsi="Verdana" w:cs="Tahoma"/>
        </w:rPr>
        <w:t>Vademecum</w:t>
      </w:r>
      <w:proofErr w:type="spellEnd"/>
      <w:r>
        <w:rPr>
          <w:rFonts w:ascii="Verdana" w:hAnsi="Verdana" w:cs="Tahoma"/>
        </w:rPr>
        <w:t>.</w:t>
      </w:r>
    </w:p>
    <w:p w:rsidR="00E40686" w:rsidRDefault="00E40686">
      <w:pPr>
        <w:tabs>
          <w:tab w:val="left" w:pos="426"/>
        </w:tabs>
        <w:spacing w:line="240" w:lineRule="exact"/>
        <w:jc w:val="both"/>
        <w:rPr>
          <w:rFonts w:ascii="Verdana" w:hAnsi="Verdana" w:cs="Tahoma"/>
          <w:i/>
        </w:rPr>
      </w:pPr>
    </w:p>
    <w:p w:rsidR="000F3E80" w:rsidRPr="00A35A07" w:rsidRDefault="00ED777A" w:rsidP="000F3E80">
      <w:pPr>
        <w:tabs>
          <w:tab w:val="left" w:pos="0"/>
        </w:tabs>
        <w:spacing w:line="240" w:lineRule="exact"/>
        <w:jc w:val="both"/>
        <w:rPr>
          <w:rFonts w:ascii="Verdana" w:hAnsi="Verdana" w:cs="Tahoma"/>
        </w:rPr>
      </w:pPr>
      <w:r>
        <w:rPr>
          <w:rFonts w:ascii="Verdana" w:hAnsi="Verdana" w:cs="Tahoma"/>
        </w:rPr>
        <w:t xml:space="preserve">Lorsque des indicateurs spécifiques sont utilisés, afin de </w:t>
      </w:r>
      <w:r w:rsidR="000F3E80" w:rsidRPr="00A35A07">
        <w:rPr>
          <w:rFonts w:ascii="Verdana" w:hAnsi="Verdana" w:cs="Tahoma"/>
        </w:rPr>
        <w:t xml:space="preserve">permettre leur bonne compréhension, il est demandé de décrire brièvement le contenu de ces indicateurs ainsi que les sources et la méthodologie de quantification utilisées. </w:t>
      </w:r>
    </w:p>
    <w:p w:rsidR="000F3E80" w:rsidRPr="00A35A07" w:rsidRDefault="000F3E80" w:rsidP="000F3E80">
      <w:pPr>
        <w:tabs>
          <w:tab w:val="left" w:pos="0"/>
        </w:tabs>
        <w:spacing w:line="240" w:lineRule="exact"/>
        <w:jc w:val="both"/>
        <w:rPr>
          <w:rFonts w:ascii="Verdana" w:hAnsi="Verdana" w:cs="Tahoma"/>
        </w:rPr>
      </w:pPr>
    </w:p>
    <w:p w:rsidR="000F3E80" w:rsidRPr="00A35A07" w:rsidRDefault="000F3E80" w:rsidP="000F3E80">
      <w:pPr>
        <w:tabs>
          <w:tab w:val="left" w:pos="0"/>
        </w:tabs>
        <w:spacing w:line="240" w:lineRule="exact"/>
        <w:jc w:val="both"/>
        <w:rPr>
          <w:rFonts w:ascii="Verdana" w:hAnsi="Verdana" w:cs="Tahoma"/>
        </w:rPr>
      </w:pPr>
      <w:r w:rsidRPr="00A35A07">
        <w:rPr>
          <w:rFonts w:ascii="Verdana" w:hAnsi="Verdana" w:cs="Tahoma"/>
        </w:rPr>
        <w:t xml:space="preserve">A des fins d’observation de leur évolution, il est souhaitable qu’une même méthodologie de rapportage soit conservée dans chacun des rapports annuels successifs. </w:t>
      </w:r>
    </w:p>
    <w:p w:rsidR="000F3E80" w:rsidRPr="00A35A07" w:rsidRDefault="000F3E80" w:rsidP="000F3E80">
      <w:pPr>
        <w:tabs>
          <w:tab w:val="left" w:pos="0"/>
        </w:tabs>
        <w:spacing w:line="240" w:lineRule="exact"/>
        <w:jc w:val="both"/>
        <w:rPr>
          <w:rFonts w:ascii="Verdana" w:hAnsi="Verdana" w:cs="Tahoma"/>
        </w:rPr>
      </w:pPr>
    </w:p>
    <w:p w:rsidR="000F3E80" w:rsidRPr="00A35A07" w:rsidRDefault="000F3E80" w:rsidP="000F3E80">
      <w:pPr>
        <w:tabs>
          <w:tab w:val="left" w:pos="0"/>
        </w:tabs>
        <w:spacing w:line="240" w:lineRule="exact"/>
        <w:jc w:val="both"/>
        <w:rPr>
          <w:rFonts w:ascii="Verdana" w:hAnsi="Verdana" w:cs="Tahoma"/>
        </w:rPr>
      </w:pPr>
      <w:r w:rsidRPr="00A35A07">
        <w:rPr>
          <w:rFonts w:ascii="Verdana" w:hAnsi="Verdana" w:cs="Tahoma"/>
        </w:rPr>
        <w:t xml:space="preserve">Par ailleurs, dans l’hypothèse où ce même indicateur aurait été valorisé dans différents projets du portefeuille, il faudrait veiller à une cohérence globale au niveau du portefeuille (notamment en termes de méthode récolte ainsi que de doublons éventuels). </w:t>
      </w:r>
    </w:p>
    <w:p w:rsidR="000F3E80" w:rsidRPr="00A35A07" w:rsidRDefault="000F3E80" w:rsidP="000F3E80">
      <w:pPr>
        <w:tabs>
          <w:tab w:val="left" w:pos="0"/>
        </w:tabs>
        <w:spacing w:line="240" w:lineRule="exact"/>
        <w:jc w:val="both"/>
        <w:rPr>
          <w:rFonts w:ascii="Verdana" w:hAnsi="Verdana" w:cs="Tahoma"/>
        </w:rPr>
      </w:pPr>
    </w:p>
    <w:p w:rsidR="000F3E80" w:rsidRPr="00A35A07" w:rsidRDefault="000F3E80" w:rsidP="000F3E80">
      <w:pPr>
        <w:tabs>
          <w:tab w:val="left" w:pos="0"/>
        </w:tabs>
        <w:spacing w:line="240" w:lineRule="exact"/>
        <w:jc w:val="both"/>
        <w:rPr>
          <w:rFonts w:ascii="Verdana" w:hAnsi="Verdana" w:cs="Tahoma"/>
          <w:i/>
        </w:rPr>
      </w:pPr>
      <w:r w:rsidRPr="00A35A07">
        <w:rPr>
          <w:rFonts w:ascii="Verdana" w:hAnsi="Verdana" w:cs="Tahoma"/>
        </w:rPr>
        <w:t xml:space="preserve">Enfin, de tels indicateurs ne doivent être comptabilisés que sur base des éléments soutenus dans le cadre du FEDER sous la programmation </w:t>
      </w:r>
      <w:r w:rsidRPr="003644F3">
        <w:rPr>
          <w:rFonts w:ascii="Verdana" w:hAnsi="Verdana" w:cs="Tahoma"/>
        </w:rPr>
        <w:t>2014-2020</w:t>
      </w:r>
      <w:r w:rsidRPr="00A35A07">
        <w:rPr>
          <w:rFonts w:ascii="Verdana" w:hAnsi="Verdana" w:cs="Tahoma"/>
        </w:rPr>
        <w:t>.</w:t>
      </w:r>
    </w:p>
    <w:p w:rsidR="000F3E80" w:rsidRPr="00A35A07" w:rsidRDefault="000F3E80" w:rsidP="000F3E80">
      <w:pPr>
        <w:tabs>
          <w:tab w:val="left" w:pos="426"/>
        </w:tabs>
        <w:spacing w:line="240" w:lineRule="exact"/>
        <w:ind w:left="426"/>
        <w:jc w:val="both"/>
        <w:rPr>
          <w:rFonts w:ascii="Verdana" w:hAnsi="Verdana" w:cs="Tahoma"/>
          <w:i/>
        </w:rPr>
      </w:pPr>
    </w:p>
    <w:p w:rsidR="000F3E80" w:rsidRPr="00A35A07" w:rsidRDefault="000F3E80" w:rsidP="000F3E80">
      <w:pPr>
        <w:tabs>
          <w:tab w:val="left" w:pos="426"/>
        </w:tabs>
        <w:spacing w:line="240" w:lineRule="exact"/>
        <w:ind w:left="426"/>
        <w:jc w:val="both"/>
        <w:rPr>
          <w:rFonts w:ascii="Verdana" w:hAnsi="Verdana" w:cs="Tahoma"/>
          <w:i/>
        </w:rPr>
      </w:pPr>
    </w:p>
    <w:p w:rsidR="000F3E80" w:rsidRPr="00A35A07" w:rsidRDefault="00B8545A" w:rsidP="000F3E80">
      <w:pPr>
        <w:tabs>
          <w:tab w:val="left" w:pos="284"/>
        </w:tabs>
        <w:spacing w:line="240" w:lineRule="exact"/>
        <w:rPr>
          <w:rFonts w:ascii="Verdana" w:hAnsi="Verdana" w:cs="Tahoma"/>
          <w:b/>
          <w:i/>
          <w:u w:val="single"/>
        </w:rPr>
      </w:pPr>
      <w:r>
        <w:rPr>
          <w:rFonts w:ascii="Verdana" w:hAnsi="Verdana" w:cs="Tahoma"/>
          <w:b/>
          <w:i/>
          <w:u w:val="single"/>
        </w:rPr>
        <w:t>3</w:t>
      </w:r>
      <w:r w:rsidR="000F3E80" w:rsidRPr="00A35A07">
        <w:rPr>
          <w:rFonts w:ascii="Verdana" w:hAnsi="Verdana" w:cs="Tahoma"/>
          <w:b/>
          <w:i/>
          <w:u w:val="single"/>
        </w:rPr>
        <w:t>. Politiques communautaires</w:t>
      </w:r>
    </w:p>
    <w:p w:rsidR="000F3E80" w:rsidRPr="00A35A07" w:rsidRDefault="000F3E80" w:rsidP="000F3E80">
      <w:pPr>
        <w:jc w:val="both"/>
        <w:rPr>
          <w:rFonts w:ascii="Verdana" w:hAnsi="Verdana" w:cs="Tahoma"/>
        </w:rPr>
      </w:pPr>
    </w:p>
    <w:p w:rsidR="000F3E80" w:rsidRDefault="000F3E80" w:rsidP="000F3E80">
      <w:pPr>
        <w:jc w:val="both"/>
        <w:rPr>
          <w:rFonts w:ascii="Verdana" w:hAnsi="Verdana" w:cs="Tahoma"/>
        </w:rPr>
      </w:pPr>
      <w:r w:rsidRPr="00A35A07">
        <w:rPr>
          <w:rFonts w:ascii="Verdana" w:hAnsi="Verdana" w:cs="Tahoma"/>
        </w:rPr>
        <w:t>Les mesures prises pour assurer la compatibilité des actions menées avec les politiques communautaires en matière de règles de la concurrence, de passation des marchés publics, de protection et d’amélioration de l’environnement, d’élimination des inégalités et de promotion de l’égalité des chances (notamment entre hommes et femmes ainsi que pour les personnes à mobilité réduite) doivent être précisée dans ce document.</w:t>
      </w:r>
    </w:p>
    <w:p w:rsidR="008B03EA" w:rsidRDefault="008B03EA" w:rsidP="000F3E80">
      <w:pPr>
        <w:jc w:val="both"/>
        <w:rPr>
          <w:rFonts w:ascii="Verdana" w:hAnsi="Verdana" w:cs="Tahoma"/>
        </w:rPr>
      </w:pPr>
    </w:p>
    <w:p w:rsidR="008B03EA" w:rsidRDefault="008B03EA" w:rsidP="000F3E80">
      <w:pPr>
        <w:jc w:val="both"/>
        <w:rPr>
          <w:rFonts w:ascii="Verdana" w:hAnsi="Verdana" w:cs="Tahoma"/>
        </w:rPr>
      </w:pPr>
    </w:p>
    <w:p w:rsidR="008B03EA" w:rsidRDefault="008B03EA" w:rsidP="000F3E80">
      <w:pPr>
        <w:jc w:val="both"/>
        <w:rPr>
          <w:rFonts w:ascii="Verdana" w:hAnsi="Verdana" w:cs="Tahoma"/>
        </w:rPr>
      </w:pPr>
    </w:p>
    <w:p w:rsidR="00E34375" w:rsidRPr="00A35A07" w:rsidRDefault="00E34375" w:rsidP="000F3E80">
      <w:pPr>
        <w:jc w:val="both"/>
        <w:rPr>
          <w:rFonts w:ascii="Verdana" w:hAnsi="Verdana" w:cs="Tahoma"/>
        </w:rPr>
      </w:pPr>
    </w:p>
    <w:p w:rsidR="000F3E80" w:rsidRPr="00A35A07" w:rsidRDefault="000F3E80" w:rsidP="000F3E80">
      <w:pPr>
        <w:jc w:val="both"/>
        <w:rPr>
          <w:rFonts w:ascii="Verdana" w:hAnsi="Verdana" w:cs="Tahoma"/>
          <w:i/>
        </w:rPr>
      </w:pPr>
    </w:p>
    <w:p w:rsidR="000F3E80" w:rsidRPr="00A35A07" w:rsidRDefault="00B8545A" w:rsidP="000F3E80">
      <w:pPr>
        <w:tabs>
          <w:tab w:val="left" w:pos="284"/>
        </w:tabs>
        <w:spacing w:line="240" w:lineRule="exact"/>
        <w:rPr>
          <w:rFonts w:ascii="Verdana" w:hAnsi="Verdana" w:cs="Tahoma"/>
          <w:b/>
          <w:i/>
          <w:u w:val="single"/>
        </w:rPr>
      </w:pPr>
      <w:r>
        <w:rPr>
          <w:rFonts w:ascii="Verdana" w:hAnsi="Verdana" w:cs="Tahoma"/>
          <w:b/>
          <w:i/>
          <w:u w:val="single"/>
        </w:rPr>
        <w:lastRenderedPageBreak/>
        <w:t>4</w:t>
      </w:r>
      <w:r w:rsidR="000F3E80" w:rsidRPr="00A35A07">
        <w:rPr>
          <w:rFonts w:ascii="Verdana" w:hAnsi="Verdana" w:cs="Tahoma"/>
          <w:b/>
          <w:i/>
          <w:u w:val="single"/>
        </w:rPr>
        <w:t xml:space="preserve">. Modalités de fonctionnement du portefeuille </w:t>
      </w:r>
    </w:p>
    <w:p w:rsidR="000F3E80" w:rsidRPr="00A35A07" w:rsidRDefault="000F3E80" w:rsidP="000F3E80">
      <w:pPr>
        <w:rPr>
          <w:rFonts w:ascii="Verdana" w:hAnsi="Verdana" w:cs="Tahoma"/>
          <w:i/>
        </w:rPr>
      </w:pPr>
    </w:p>
    <w:p w:rsidR="000F3E80" w:rsidRPr="00A35A07" w:rsidRDefault="000F3E80" w:rsidP="000F3E80">
      <w:pPr>
        <w:jc w:val="both"/>
        <w:rPr>
          <w:rFonts w:ascii="Verdana" w:hAnsi="Verdana" w:cs="Tahoma"/>
        </w:rPr>
      </w:pPr>
      <w:r w:rsidRPr="00A35A07">
        <w:rPr>
          <w:rFonts w:ascii="Verdana" w:hAnsi="Verdana" w:cs="Tahoma"/>
        </w:rPr>
        <w:t>La manière dont le portefeuille a fonctionné ainsi que les interactions entre les partenaires sont explicités.</w:t>
      </w:r>
    </w:p>
    <w:p w:rsidR="000F3E80" w:rsidRPr="00A35A07" w:rsidRDefault="000F3E80" w:rsidP="000F3E80">
      <w:pPr>
        <w:jc w:val="both"/>
        <w:rPr>
          <w:rFonts w:ascii="Verdana" w:hAnsi="Verdana" w:cs="Tahoma"/>
          <w:i/>
        </w:rPr>
      </w:pPr>
    </w:p>
    <w:p w:rsidR="000F3E80" w:rsidRPr="00A35A07" w:rsidRDefault="00B8545A" w:rsidP="000F3E80">
      <w:pPr>
        <w:tabs>
          <w:tab w:val="left" w:pos="284"/>
        </w:tabs>
        <w:spacing w:line="240" w:lineRule="exact"/>
        <w:rPr>
          <w:rFonts w:ascii="Verdana" w:hAnsi="Verdana" w:cs="Tahoma"/>
          <w:b/>
          <w:i/>
          <w:u w:val="single"/>
        </w:rPr>
      </w:pPr>
      <w:r>
        <w:rPr>
          <w:rFonts w:ascii="Verdana" w:hAnsi="Verdana" w:cs="Tahoma"/>
          <w:b/>
          <w:i/>
          <w:u w:val="single"/>
        </w:rPr>
        <w:t>5</w:t>
      </w:r>
      <w:r w:rsidR="000F3E80" w:rsidRPr="00A35A07">
        <w:rPr>
          <w:rFonts w:ascii="Verdana" w:hAnsi="Verdana" w:cs="Tahoma"/>
          <w:b/>
          <w:i/>
          <w:u w:val="single"/>
        </w:rPr>
        <w:t xml:space="preserve">. Coopération dans le cadre de partenariats-synergies et liens avec d’autres projets </w:t>
      </w:r>
    </w:p>
    <w:p w:rsidR="000F3E80" w:rsidRPr="00A35A07" w:rsidRDefault="000F3E80" w:rsidP="000F3E80">
      <w:pPr>
        <w:jc w:val="both"/>
        <w:rPr>
          <w:rFonts w:ascii="Verdana" w:hAnsi="Verdana" w:cs="Tahoma"/>
          <w:i/>
        </w:rPr>
      </w:pPr>
    </w:p>
    <w:p w:rsidR="000F3E80" w:rsidRPr="00A35A07" w:rsidRDefault="000F3E80" w:rsidP="000F3E80">
      <w:pPr>
        <w:pStyle w:val="Pieddepage"/>
        <w:tabs>
          <w:tab w:val="clear" w:pos="4536"/>
          <w:tab w:val="clear" w:pos="9072"/>
        </w:tabs>
        <w:rPr>
          <w:rFonts w:cs="Tahoma"/>
          <w:lang w:val="fr-BE"/>
        </w:rPr>
      </w:pPr>
      <w:r w:rsidRPr="00A35A07">
        <w:rPr>
          <w:rFonts w:cs="Tahoma"/>
          <w:lang w:val="fr-BE"/>
        </w:rPr>
        <w:t xml:space="preserve">Les partenariats ou synergies ayant éventuellement été développés par le biais de la mise en œuvre du portefeuille de projets ou de certains projets du portefeuille ainsi que les liens s’étant tissés avec des projets non cofinancés dans le cadre du présent portefeuille peuvent constituer des éléments intéressants à mettre en exergue dans le rapport. </w:t>
      </w:r>
    </w:p>
    <w:p w:rsidR="000F3E80" w:rsidRDefault="000F3E80" w:rsidP="000F3E80">
      <w:pPr>
        <w:pStyle w:val="Pieddepage"/>
        <w:tabs>
          <w:tab w:val="clear" w:pos="4536"/>
          <w:tab w:val="clear" w:pos="9072"/>
        </w:tabs>
        <w:rPr>
          <w:rFonts w:cs="Tahoma"/>
          <w:lang w:val="fr-BE"/>
        </w:rPr>
      </w:pPr>
    </w:p>
    <w:p w:rsidR="000F3E80" w:rsidRPr="00962893" w:rsidRDefault="00B8545A" w:rsidP="000F3E80">
      <w:pPr>
        <w:pStyle w:val="Pieddepage"/>
        <w:tabs>
          <w:tab w:val="clear" w:pos="1418"/>
          <w:tab w:val="clear" w:pos="4536"/>
          <w:tab w:val="clear" w:pos="9072"/>
          <w:tab w:val="left" w:pos="0"/>
        </w:tabs>
        <w:rPr>
          <w:rFonts w:cs="Tahoma"/>
          <w:b/>
          <w:i/>
          <w:snapToGrid/>
          <w:u w:val="single"/>
        </w:rPr>
      </w:pPr>
      <w:r>
        <w:rPr>
          <w:rFonts w:cs="Tahoma"/>
          <w:b/>
          <w:i/>
          <w:snapToGrid/>
          <w:u w:val="single"/>
        </w:rPr>
        <w:t>6</w:t>
      </w:r>
      <w:r w:rsidR="000F3E80" w:rsidRPr="00962893">
        <w:rPr>
          <w:rFonts w:cs="Tahoma"/>
          <w:b/>
          <w:i/>
          <w:snapToGrid/>
          <w:u w:val="single"/>
        </w:rPr>
        <w:t>. Perspectives à venir</w:t>
      </w:r>
    </w:p>
    <w:p w:rsidR="000F3E80" w:rsidRPr="00962893" w:rsidRDefault="000F3E80" w:rsidP="000F3E80">
      <w:pPr>
        <w:pStyle w:val="Corpsdetexte2"/>
        <w:tabs>
          <w:tab w:val="clear" w:pos="1418"/>
          <w:tab w:val="left" w:pos="709"/>
        </w:tabs>
        <w:rPr>
          <w:rFonts w:ascii="Tahoma" w:hAnsi="Tahoma" w:cs="Tahoma"/>
        </w:rPr>
      </w:pPr>
    </w:p>
    <w:p w:rsidR="000F3E80" w:rsidRPr="001D1FCA" w:rsidRDefault="000F3E80" w:rsidP="000F3E80">
      <w:pPr>
        <w:pStyle w:val="Pieddepage"/>
        <w:tabs>
          <w:tab w:val="clear" w:pos="4536"/>
          <w:tab w:val="clear" w:pos="9072"/>
        </w:tabs>
        <w:rPr>
          <w:rFonts w:cs="Tahoma"/>
          <w:lang w:val="fr-BE"/>
        </w:rPr>
      </w:pPr>
      <w:r w:rsidRPr="001D1FCA">
        <w:rPr>
          <w:rFonts w:cs="Tahoma"/>
          <w:lang w:val="fr-BE"/>
        </w:rPr>
        <w:t xml:space="preserve">Les Bénéficiaires et </w:t>
      </w:r>
      <w:r>
        <w:rPr>
          <w:rFonts w:cs="Tahoma"/>
          <w:lang w:val="fr-BE"/>
        </w:rPr>
        <w:t>c</w:t>
      </w:r>
      <w:r w:rsidRPr="001D1FCA">
        <w:rPr>
          <w:rFonts w:cs="Tahoma"/>
          <w:lang w:val="fr-BE"/>
        </w:rPr>
        <w:t xml:space="preserve">hef de file ajoutent une description des perspectives à venir ainsi que les résultats et les impacts attendus (ou déjà constatés) du portefeuille. Cette partie peut se baser sur la liste des questions relatives aux impacts du portefeuille (annexe ...). </w:t>
      </w:r>
    </w:p>
    <w:p w:rsidR="000F3E80" w:rsidRDefault="000F3E80" w:rsidP="000F3E80">
      <w:pPr>
        <w:pStyle w:val="Pieddepage"/>
        <w:tabs>
          <w:tab w:val="clear" w:pos="1418"/>
          <w:tab w:val="clear" w:pos="4536"/>
          <w:tab w:val="clear" w:pos="9072"/>
          <w:tab w:val="left" w:pos="0"/>
        </w:tabs>
        <w:rPr>
          <w:rFonts w:cs="Tahoma"/>
          <w:b/>
          <w:i/>
          <w:snapToGrid/>
          <w:u w:val="single"/>
        </w:rPr>
      </w:pPr>
    </w:p>
    <w:p w:rsidR="000F3E80" w:rsidRDefault="00B8545A" w:rsidP="000F3E80">
      <w:pPr>
        <w:pStyle w:val="Pieddepage"/>
        <w:tabs>
          <w:tab w:val="clear" w:pos="1418"/>
          <w:tab w:val="clear" w:pos="4536"/>
          <w:tab w:val="clear" w:pos="9072"/>
          <w:tab w:val="left" w:pos="0"/>
        </w:tabs>
        <w:rPr>
          <w:rFonts w:cs="Tahoma"/>
          <w:b/>
          <w:i/>
          <w:snapToGrid/>
          <w:u w:val="single"/>
        </w:rPr>
      </w:pPr>
      <w:r>
        <w:rPr>
          <w:rFonts w:cs="Tahoma"/>
          <w:b/>
          <w:i/>
          <w:snapToGrid/>
          <w:u w:val="single"/>
        </w:rPr>
        <w:t>7</w:t>
      </w:r>
      <w:r w:rsidR="000F3E80" w:rsidRPr="00962893">
        <w:rPr>
          <w:rFonts w:cs="Tahoma"/>
          <w:b/>
          <w:i/>
          <w:snapToGrid/>
          <w:u w:val="single"/>
        </w:rPr>
        <w:t xml:space="preserve">. </w:t>
      </w:r>
      <w:r w:rsidR="000F3E80">
        <w:rPr>
          <w:rFonts w:cs="Tahoma"/>
          <w:b/>
          <w:i/>
          <w:snapToGrid/>
          <w:u w:val="single"/>
        </w:rPr>
        <w:t>Stratégie de spécialisation intelligente</w:t>
      </w:r>
    </w:p>
    <w:p w:rsidR="000F3E80" w:rsidRDefault="000F3E80" w:rsidP="000F3E80">
      <w:pPr>
        <w:pStyle w:val="Pieddepage"/>
        <w:tabs>
          <w:tab w:val="clear" w:pos="1418"/>
          <w:tab w:val="clear" w:pos="4536"/>
          <w:tab w:val="clear" w:pos="9072"/>
          <w:tab w:val="left" w:pos="0"/>
        </w:tabs>
        <w:rPr>
          <w:rFonts w:cs="Tahoma"/>
          <w:snapToGrid/>
        </w:rPr>
      </w:pPr>
    </w:p>
    <w:p w:rsidR="000F3E80" w:rsidRDefault="000F3E80" w:rsidP="000F3E80">
      <w:pPr>
        <w:pStyle w:val="Pieddepage"/>
        <w:tabs>
          <w:tab w:val="clear" w:pos="1418"/>
          <w:tab w:val="clear" w:pos="4536"/>
          <w:tab w:val="clear" w:pos="9072"/>
          <w:tab w:val="left" w:pos="0"/>
        </w:tabs>
        <w:rPr>
          <w:rFonts w:cs="Tahoma"/>
          <w:snapToGrid/>
        </w:rPr>
      </w:pPr>
      <w:r>
        <w:rPr>
          <w:rFonts w:cs="Tahoma"/>
          <w:snapToGrid/>
        </w:rPr>
        <w:t>La manière dont le portefeuille a mis en place une stratégie favorisant la spécialisation intelligente dans la perspective d’obtenir un avantage comparatif sera développée.</w:t>
      </w:r>
    </w:p>
    <w:p w:rsidR="000F3E80" w:rsidRDefault="000F3E80" w:rsidP="000F3E80">
      <w:pPr>
        <w:pStyle w:val="Pieddepage"/>
        <w:tabs>
          <w:tab w:val="clear" w:pos="1418"/>
          <w:tab w:val="clear" w:pos="4536"/>
          <w:tab w:val="clear" w:pos="9072"/>
          <w:tab w:val="left" w:pos="0"/>
        </w:tabs>
        <w:rPr>
          <w:rFonts w:cs="Tahoma"/>
          <w:snapToGrid/>
        </w:rPr>
      </w:pPr>
      <w:r>
        <w:rPr>
          <w:rFonts w:cs="Tahoma"/>
          <w:snapToGrid/>
        </w:rPr>
        <w:t xml:space="preserve">La concentration des efforts sur la création et le développement d’activités compétitives, innovantes et génératrices d’emplois sera mise en exergue. </w:t>
      </w:r>
    </w:p>
    <w:p w:rsidR="000F3E80" w:rsidRPr="00C20AAE" w:rsidRDefault="000F3E80" w:rsidP="000F3E80">
      <w:pPr>
        <w:pStyle w:val="Pieddepage"/>
        <w:tabs>
          <w:tab w:val="clear" w:pos="1418"/>
          <w:tab w:val="clear" w:pos="4536"/>
          <w:tab w:val="clear" w:pos="9072"/>
          <w:tab w:val="left" w:pos="0"/>
        </w:tabs>
        <w:rPr>
          <w:rFonts w:cs="Tahoma"/>
          <w:snapToGrid/>
        </w:rPr>
      </w:pPr>
      <w:r>
        <w:rPr>
          <w:rFonts w:cs="Tahoma"/>
          <w:snapToGrid/>
        </w:rPr>
        <w:t xml:space="preserve">Les liens et les collaborations avec les pôles de compétitivité seront mentionnés. </w:t>
      </w:r>
    </w:p>
    <w:p w:rsidR="000F3E80" w:rsidRDefault="000F3E80" w:rsidP="000F3E80">
      <w:pPr>
        <w:pStyle w:val="Pieddepage"/>
        <w:tabs>
          <w:tab w:val="clear" w:pos="1418"/>
          <w:tab w:val="clear" w:pos="4536"/>
          <w:tab w:val="clear" w:pos="9072"/>
          <w:tab w:val="left" w:pos="0"/>
        </w:tabs>
        <w:rPr>
          <w:rFonts w:cs="Tahoma"/>
          <w:b/>
          <w:i/>
          <w:snapToGrid/>
          <w:u w:val="single"/>
        </w:rPr>
      </w:pPr>
    </w:p>
    <w:p w:rsidR="000F3E80" w:rsidRDefault="00B8545A" w:rsidP="000F3E80">
      <w:pPr>
        <w:pStyle w:val="Pieddepage"/>
        <w:tabs>
          <w:tab w:val="clear" w:pos="1418"/>
          <w:tab w:val="clear" w:pos="4536"/>
          <w:tab w:val="clear" w:pos="9072"/>
          <w:tab w:val="left" w:pos="0"/>
        </w:tabs>
        <w:rPr>
          <w:rFonts w:cs="Tahoma"/>
          <w:b/>
          <w:i/>
          <w:snapToGrid/>
          <w:u w:val="single"/>
        </w:rPr>
      </w:pPr>
      <w:r>
        <w:rPr>
          <w:rFonts w:cs="Tahoma"/>
          <w:b/>
          <w:i/>
          <w:snapToGrid/>
          <w:u w:val="single"/>
        </w:rPr>
        <w:t>8</w:t>
      </w:r>
      <w:r w:rsidR="000F3E80">
        <w:rPr>
          <w:rFonts w:cs="Tahoma"/>
          <w:b/>
          <w:i/>
          <w:snapToGrid/>
          <w:u w:val="single"/>
        </w:rPr>
        <w:t>. Publicité et information</w:t>
      </w:r>
    </w:p>
    <w:p w:rsidR="000F3E80" w:rsidRDefault="000F3E80" w:rsidP="000F3E80">
      <w:pPr>
        <w:pStyle w:val="Pieddepage"/>
        <w:tabs>
          <w:tab w:val="clear" w:pos="1418"/>
          <w:tab w:val="clear" w:pos="4536"/>
          <w:tab w:val="clear" w:pos="9072"/>
          <w:tab w:val="left" w:pos="0"/>
        </w:tabs>
        <w:rPr>
          <w:rFonts w:cs="Tahoma"/>
          <w:b/>
          <w:i/>
          <w:snapToGrid/>
          <w:u w:val="single"/>
        </w:rPr>
      </w:pPr>
    </w:p>
    <w:p w:rsidR="000F3E80" w:rsidRDefault="000F3E80" w:rsidP="000F3E80">
      <w:pPr>
        <w:pStyle w:val="Pieddepage"/>
        <w:tabs>
          <w:tab w:val="clear" w:pos="1418"/>
          <w:tab w:val="clear" w:pos="4536"/>
          <w:tab w:val="clear" w:pos="9072"/>
          <w:tab w:val="left" w:pos="0"/>
        </w:tabs>
        <w:rPr>
          <w:rFonts w:cs="Tahoma"/>
          <w:snapToGrid/>
        </w:rPr>
      </w:pPr>
      <w:r>
        <w:rPr>
          <w:rFonts w:cs="Tahoma"/>
          <w:snapToGrid/>
        </w:rPr>
        <w:t xml:space="preserve">Les mesures prises en matière de publicité et d’information en respect des obligations décrites dans l’annexe 3 de l’arrêté de subvention, seront détaillées le cas échéant.  </w:t>
      </w:r>
    </w:p>
    <w:p w:rsidR="00E40686" w:rsidRDefault="000F3E80">
      <w:pPr>
        <w:pStyle w:val="Pieddepage"/>
        <w:framePr w:hSpace="141" w:wrap="around" w:vAnchor="text" w:hAnchor="text" w:xAlign="center" w:y="42"/>
        <w:rPr>
          <w:rFonts w:cs="Tahoma"/>
        </w:rPr>
      </w:pPr>
      <w:r>
        <w:rPr>
          <w:rFonts w:cs="Tahoma"/>
          <w:snapToGrid/>
        </w:rPr>
        <w:t>Il sera fait mention de tout lien, plateforme ou site internet utile à la présentation et la compréhension du portefeuille.</w:t>
      </w:r>
      <w:bookmarkStart w:id="9" w:name="_Toc453083586"/>
      <w:bookmarkStart w:id="10" w:name="_Toc453947157"/>
      <w:bookmarkStart w:id="11" w:name="_Toc345588941"/>
      <w:bookmarkStart w:id="12" w:name="_Toc453083584"/>
    </w:p>
    <w:p w:rsidR="00E40686" w:rsidRDefault="00E40686">
      <w:pPr>
        <w:pStyle w:val="Pieddepage"/>
      </w:pPr>
      <w:bookmarkStart w:id="13" w:name="_Hlt169513219"/>
      <w:bookmarkStart w:id="14" w:name="_Hlt288058622"/>
      <w:bookmarkEnd w:id="9"/>
      <w:bookmarkEnd w:id="10"/>
      <w:bookmarkEnd w:id="11"/>
      <w:bookmarkEnd w:id="12"/>
      <w:bookmarkEnd w:id="4"/>
      <w:bookmarkEnd w:id="5"/>
      <w:bookmarkEnd w:id="13"/>
      <w:bookmarkEnd w:id="14"/>
    </w:p>
    <w:sectPr w:rsidR="00E40686" w:rsidSect="00841EE6">
      <w:footerReference w:type="default" r:id="rId8"/>
      <w:pgSz w:w="11907" w:h="16840"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2A" w:rsidRDefault="00E27A2A" w:rsidP="000F3E80">
      <w:r>
        <w:separator/>
      </w:r>
    </w:p>
  </w:endnote>
  <w:endnote w:type="continuationSeparator" w:id="0">
    <w:p w:rsidR="00E27A2A" w:rsidRDefault="00E27A2A" w:rsidP="000F3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2A" w:rsidRDefault="00E27A2A">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2A" w:rsidRDefault="00E27A2A" w:rsidP="000F3E80">
      <w:r>
        <w:separator/>
      </w:r>
    </w:p>
  </w:footnote>
  <w:footnote w:type="continuationSeparator" w:id="0">
    <w:p w:rsidR="00E27A2A" w:rsidRDefault="00E27A2A" w:rsidP="000F3E80">
      <w:r>
        <w:continuationSeparator/>
      </w:r>
    </w:p>
  </w:footnote>
  <w:footnote w:id="1">
    <w:p w:rsidR="00E27A2A" w:rsidRDefault="00E27A2A" w:rsidP="000F3E80">
      <w:pPr>
        <w:pStyle w:val="Notedebasdepage"/>
      </w:pPr>
      <w:r>
        <w:rPr>
          <w:rStyle w:val="Appelnotedebasdep"/>
        </w:rPr>
        <w:footnoteRef/>
      </w:r>
      <w:r>
        <w:t xml:space="preserve"> Chaque portefeuille doit faire l’objet d’un rapport annuel global à approuver par le COMAC au </w:t>
      </w:r>
      <w:r w:rsidRPr="001A73DB">
        <w:t>plus tard le 15 mars suivant l’année</w:t>
      </w:r>
      <w:r>
        <w:t xml:space="preserve"> considérée. L’objet de ce rapport est de fournir une synthèse des réalisations du portefeuille.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518"/>
    <w:multiLevelType w:val="singleLevel"/>
    <w:tmpl w:val="1966C5BA"/>
    <w:lvl w:ilvl="0">
      <w:numFmt w:val="bullet"/>
      <w:lvlText w:val="-"/>
      <w:lvlJc w:val="left"/>
      <w:pPr>
        <w:tabs>
          <w:tab w:val="num" w:pos="360"/>
        </w:tabs>
        <w:ind w:left="360" w:hanging="360"/>
      </w:pPr>
      <w:rPr>
        <w:rFonts w:hint="default"/>
      </w:rPr>
    </w:lvl>
  </w:abstractNum>
  <w:abstractNum w:abstractNumId="1">
    <w:nsid w:val="017F194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05D147EF"/>
    <w:multiLevelType w:val="hybridMultilevel"/>
    <w:tmpl w:val="AFA49B78"/>
    <w:lvl w:ilvl="0" w:tplc="D20E035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9331BA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nsid w:val="107E5AFC"/>
    <w:multiLevelType w:val="hybridMultilevel"/>
    <w:tmpl w:val="968E2F6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4C9200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nsid w:val="17107BFD"/>
    <w:multiLevelType w:val="singleLevel"/>
    <w:tmpl w:val="A362610C"/>
    <w:lvl w:ilvl="0">
      <w:start w:val="6"/>
      <w:numFmt w:val="bullet"/>
      <w:lvlText w:val="-"/>
      <w:lvlJc w:val="left"/>
      <w:pPr>
        <w:tabs>
          <w:tab w:val="num" w:pos="360"/>
        </w:tabs>
        <w:ind w:left="360" w:hanging="360"/>
      </w:pPr>
      <w:rPr>
        <w:rFonts w:hint="default"/>
      </w:rPr>
    </w:lvl>
  </w:abstractNum>
  <w:abstractNum w:abstractNumId="7">
    <w:nsid w:val="18FA5383"/>
    <w:multiLevelType w:val="hybridMultilevel"/>
    <w:tmpl w:val="A0848A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1BA1C5E"/>
    <w:multiLevelType w:val="hybridMultilevel"/>
    <w:tmpl w:val="A2E48B4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2636F32"/>
    <w:multiLevelType w:val="singleLevel"/>
    <w:tmpl w:val="040C000F"/>
    <w:lvl w:ilvl="0">
      <w:start w:val="1"/>
      <w:numFmt w:val="decimal"/>
      <w:lvlText w:val="%1."/>
      <w:lvlJc w:val="left"/>
      <w:pPr>
        <w:tabs>
          <w:tab w:val="num" w:pos="360"/>
        </w:tabs>
        <w:ind w:left="360" w:hanging="360"/>
      </w:pPr>
    </w:lvl>
  </w:abstractNum>
  <w:abstractNum w:abstractNumId="10">
    <w:nsid w:val="235B1CA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nsid w:val="279D7052"/>
    <w:multiLevelType w:val="hybridMultilevel"/>
    <w:tmpl w:val="916697AA"/>
    <w:lvl w:ilvl="0" w:tplc="D20E035C">
      <w:start w:val="1"/>
      <w:numFmt w:val="bullet"/>
      <w:lvlText w:val=""/>
      <w:lvlJc w:val="left"/>
      <w:pPr>
        <w:ind w:left="786"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82D7C31"/>
    <w:multiLevelType w:val="hybridMultilevel"/>
    <w:tmpl w:val="8846734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D8E4E46"/>
    <w:multiLevelType w:val="hybridMultilevel"/>
    <w:tmpl w:val="40D8F2A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1E840B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5">
    <w:nsid w:val="31EF6BA3"/>
    <w:multiLevelType w:val="hybridMultilevel"/>
    <w:tmpl w:val="1F52147C"/>
    <w:lvl w:ilvl="0" w:tplc="D20E035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8152C18"/>
    <w:multiLevelType w:val="singleLevel"/>
    <w:tmpl w:val="AD307D7A"/>
    <w:lvl w:ilvl="0">
      <w:start w:val="1"/>
      <w:numFmt w:val="decimal"/>
      <w:lvlText w:val="(%1)"/>
      <w:lvlJc w:val="left"/>
      <w:pPr>
        <w:tabs>
          <w:tab w:val="num" w:pos="390"/>
        </w:tabs>
        <w:ind w:left="390" w:hanging="360"/>
      </w:pPr>
      <w:rPr>
        <w:rFonts w:hint="default"/>
      </w:rPr>
    </w:lvl>
  </w:abstractNum>
  <w:abstractNum w:abstractNumId="17">
    <w:nsid w:val="38FA1018"/>
    <w:multiLevelType w:val="hybridMultilevel"/>
    <w:tmpl w:val="505E8550"/>
    <w:lvl w:ilvl="0" w:tplc="D20E035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97D31B1"/>
    <w:multiLevelType w:val="hybridMultilevel"/>
    <w:tmpl w:val="CE122DEA"/>
    <w:lvl w:ilvl="0" w:tplc="16A418E0">
      <w:start w:val="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B515B67"/>
    <w:multiLevelType w:val="hybridMultilevel"/>
    <w:tmpl w:val="AE404B3A"/>
    <w:lvl w:ilvl="0" w:tplc="D20E035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C4144D5"/>
    <w:multiLevelType w:val="hybridMultilevel"/>
    <w:tmpl w:val="2960CDF2"/>
    <w:lvl w:ilvl="0" w:tplc="5C746086">
      <w:start w:val="1"/>
      <w:numFmt w:val="upperRoman"/>
      <w:lvlText w:val="%1."/>
      <w:lvlJc w:val="right"/>
      <w:pPr>
        <w:ind w:left="360" w:hanging="360"/>
      </w:pPr>
      <w:rPr>
        <w:b/>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nsid w:val="4270076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nsid w:val="42E91471"/>
    <w:multiLevelType w:val="hybridMultilevel"/>
    <w:tmpl w:val="CFFC87B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E39223F"/>
    <w:multiLevelType w:val="multilevel"/>
    <w:tmpl w:val="3AB6B8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29736E0"/>
    <w:multiLevelType w:val="hybridMultilevel"/>
    <w:tmpl w:val="C4603D7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D263D91"/>
    <w:multiLevelType w:val="hybridMultilevel"/>
    <w:tmpl w:val="2EE809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F4B7B0C"/>
    <w:multiLevelType w:val="singleLevel"/>
    <w:tmpl w:val="A362610C"/>
    <w:lvl w:ilvl="0">
      <w:start w:val="6"/>
      <w:numFmt w:val="bullet"/>
      <w:lvlText w:val="-"/>
      <w:lvlJc w:val="left"/>
      <w:pPr>
        <w:tabs>
          <w:tab w:val="num" w:pos="360"/>
        </w:tabs>
        <w:ind w:left="360" w:hanging="360"/>
      </w:pPr>
      <w:rPr>
        <w:rFonts w:hint="default"/>
      </w:rPr>
    </w:lvl>
  </w:abstractNum>
  <w:abstractNum w:abstractNumId="28">
    <w:nsid w:val="5FB32877"/>
    <w:multiLevelType w:val="hybridMultilevel"/>
    <w:tmpl w:val="3D984C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FD838C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nsid w:val="62D95A3E"/>
    <w:multiLevelType w:val="hybridMultilevel"/>
    <w:tmpl w:val="4BBE06B4"/>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1">
    <w:nsid w:val="631A2812"/>
    <w:multiLevelType w:val="singleLevel"/>
    <w:tmpl w:val="DE282E32"/>
    <w:lvl w:ilvl="0">
      <w:start w:val="16"/>
      <w:numFmt w:val="bullet"/>
      <w:lvlText w:val="-"/>
      <w:lvlJc w:val="left"/>
      <w:pPr>
        <w:tabs>
          <w:tab w:val="num" w:pos="360"/>
        </w:tabs>
        <w:ind w:left="360" w:hanging="360"/>
      </w:pPr>
      <w:rPr>
        <w:rFonts w:ascii="Times New Roman" w:hAnsi="Times New Roman" w:hint="default"/>
      </w:rPr>
    </w:lvl>
  </w:abstractNum>
  <w:abstractNum w:abstractNumId="32">
    <w:nsid w:val="644F759A"/>
    <w:multiLevelType w:val="hybridMultilevel"/>
    <w:tmpl w:val="5D34FC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61E642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nsid w:val="662034F6"/>
    <w:multiLevelType w:val="singleLevel"/>
    <w:tmpl w:val="E6B2B936"/>
    <w:lvl w:ilvl="0">
      <w:start w:val="1"/>
      <w:numFmt w:val="bullet"/>
      <w:lvlText w:val=""/>
      <w:lvlJc w:val="left"/>
      <w:pPr>
        <w:tabs>
          <w:tab w:val="num" w:pos="360"/>
        </w:tabs>
        <w:ind w:left="360" w:hanging="360"/>
      </w:pPr>
      <w:rPr>
        <w:rFonts w:ascii="Wingdings" w:hAnsi="Wingdings" w:hint="default"/>
      </w:rPr>
    </w:lvl>
  </w:abstractNum>
  <w:abstractNum w:abstractNumId="35">
    <w:nsid w:val="6A9B7F19"/>
    <w:multiLevelType w:val="singleLevel"/>
    <w:tmpl w:val="1966C5BA"/>
    <w:lvl w:ilvl="0">
      <w:numFmt w:val="bullet"/>
      <w:lvlText w:val="-"/>
      <w:lvlJc w:val="left"/>
      <w:pPr>
        <w:tabs>
          <w:tab w:val="num" w:pos="360"/>
        </w:tabs>
        <w:ind w:left="360" w:hanging="360"/>
      </w:pPr>
      <w:rPr>
        <w:rFonts w:hint="default"/>
      </w:rPr>
    </w:lvl>
  </w:abstractNum>
  <w:abstractNum w:abstractNumId="36">
    <w:nsid w:val="748F6F92"/>
    <w:multiLevelType w:val="hybridMultilevel"/>
    <w:tmpl w:val="EFA8957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6EF126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8">
    <w:nsid w:val="780E71F1"/>
    <w:multiLevelType w:val="singleLevel"/>
    <w:tmpl w:val="A362610C"/>
    <w:lvl w:ilvl="0">
      <w:start w:val="6"/>
      <w:numFmt w:val="bullet"/>
      <w:lvlText w:val="-"/>
      <w:lvlJc w:val="left"/>
      <w:pPr>
        <w:tabs>
          <w:tab w:val="num" w:pos="360"/>
        </w:tabs>
        <w:ind w:left="360" w:hanging="360"/>
      </w:pPr>
      <w:rPr>
        <w:rFonts w:hint="default"/>
      </w:rPr>
    </w:lvl>
  </w:abstractNum>
  <w:abstractNum w:abstractNumId="39">
    <w:nsid w:val="78657BEB"/>
    <w:multiLevelType w:val="hybridMultilevel"/>
    <w:tmpl w:val="F560130C"/>
    <w:lvl w:ilvl="0" w:tplc="3346707A">
      <w:start w:val="1"/>
      <w:numFmt w:val="decimal"/>
      <w:lvlText w:val="%1."/>
      <w:lvlJc w:val="left"/>
      <w:pPr>
        <w:ind w:left="390" w:hanging="360"/>
      </w:pPr>
      <w:rPr>
        <w:rFonts w:ascii="Verdana" w:hAnsi="Verdana" w:hint="default"/>
        <w:i w:val="0"/>
        <w:sz w:val="22"/>
        <w:szCs w:val="22"/>
      </w:rPr>
    </w:lvl>
    <w:lvl w:ilvl="1" w:tplc="080C0019" w:tentative="1">
      <w:start w:val="1"/>
      <w:numFmt w:val="lowerLetter"/>
      <w:lvlText w:val="%2."/>
      <w:lvlJc w:val="left"/>
      <w:pPr>
        <w:ind w:left="1110" w:hanging="360"/>
      </w:pPr>
    </w:lvl>
    <w:lvl w:ilvl="2" w:tplc="080C001B" w:tentative="1">
      <w:start w:val="1"/>
      <w:numFmt w:val="lowerRoman"/>
      <w:lvlText w:val="%3."/>
      <w:lvlJc w:val="right"/>
      <w:pPr>
        <w:ind w:left="1830" w:hanging="180"/>
      </w:pPr>
    </w:lvl>
    <w:lvl w:ilvl="3" w:tplc="080C000F" w:tentative="1">
      <w:start w:val="1"/>
      <w:numFmt w:val="decimal"/>
      <w:lvlText w:val="%4."/>
      <w:lvlJc w:val="left"/>
      <w:pPr>
        <w:ind w:left="2550" w:hanging="360"/>
      </w:pPr>
    </w:lvl>
    <w:lvl w:ilvl="4" w:tplc="080C0019" w:tentative="1">
      <w:start w:val="1"/>
      <w:numFmt w:val="lowerLetter"/>
      <w:lvlText w:val="%5."/>
      <w:lvlJc w:val="left"/>
      <w:pPr>
        <w:ind w:left="3270" w:hanging="360"/>
      </w:pPr>
    </w:lvl>
    <w:lvl w:ilvl="5" w:tplc="080C001B" w:tentative="1">
      <w:start w:val="1"/>
      <w:numFmt w:val="lowerRoman"/>
      <w:lvlText w:val="%6."/>
      <w:lvlJc w:val="right"/>
      <w:pPr>
        <w:ind w:left="3990" w:hanging="180"/>
      </w:pPr>
    </w:lvl>
    <w:lvl w:ilvl="6" w:tplc="080C000F" w:tentative="1">
      <w:start w:val="1"/>
      <w:numFmt w:val="decimal"/>
      <w:lvlText w:val="%7."/>
      <w:lvlJc w:val="left"/>
      <w:pPr>
        <w:ind w:left="4710" w:hanging="360"/>
      </w:pPr>
    </w:lvl>
    <w:lvl w:ilvl="7" w:tplc="080C0019" w:tentative="1">
      <w:start w:val="1"/>
      <w:numFmt w:val="lowerLetter"/>
      <w:lvlText w:val="%8."/>
      <w:lvlJc w:val="left"/>
      <w:pPr>
        <w:ind w:left="5430" w:hanging="360"/>
      </w:pPr>
    </w:lvl>
    <w:lvl w:ilvl="8" w:tplc="080C001B" w:tentative="1">
      <w:start w:val="1"/>
      <w:numFmt w:val="lowerRoman"/>
      <w:lvlText w:val="%9."/>
      <w:lvlJc w:val="right"/>
      <w:pPr>
        <w:ind w:left="6150" w:hanging="180"/>
      </w:pPr>
    </w:lvl>
  </w:abstractNum>
  <w:abstractNum w:abstractNumId="40">
    <w:nsid w:val="7DA62D1E"/>
    <w:multiLevelType w:val="singleLevel"/>
    <w:tmpl w:val="93607030"/>
    <w:lvl w:ilvl="0">
      <w:start w:val="1"/>
      <w:numFmt w:val="bullet"/>
      <w:lvlText w:val="-"/>
      <w:lvlJc w:val="left"/>
      <w:pPr>
        <w:tabs>
          <w:tab w:val="num" w:pos="360"/>
        </w:tabs>
        <w:ind w:left="360" w:hanging="360"/>
      </w:pPr>
      <w:rPr>
        <w:rFonts w:hint="default"/>
      </w:rPr>
    </w:lvl>
  </w:abstractNum>
  <w:num w:numId="1">
    <w:abstractNumId w:val="0"/>
  </w:num>
  <w:num w:numId="2">
    <w:abstractNumId w:val="40"/>
  </w:num>
  <w:num w:numId="3">
    <w:abstractNumId w:val="34"/>
  </w:num>
  <w:num w:numId="4">
    <w:abstractNumId w:val="35"/>
  </w:num>
  <w:num w:numId="5">
    <w:abstractNumId w:val="9"/>
  </w:num>
  <w:num w:numId="6">
    <w:abstractNumId w:val="37"/>
  </w:num>
  <w:num w:numId="7">
    <w:abstractNumId w:val="10"/>
  </w:num>
  <w:num w:numId="8">
    <w:abstractNumId w:val="31"/>
  </w:num>
  <w:num w:numId="9">
    <w:abstractNumId w:val="29"/>
  </w:num>
  <w:num w:numId="10">
    <w:abstractNumId w:val="33"/>
  </w:num>
  <w:num w:numId="11">
    <w:abstractNumId w:val="14"/>
  </w:num>
  <w:num w:numId="12">
    <w:abstractNumId w:val="5"/>
  </w:num>
  <w:num w:numId="13">
    <w:abstractNumId w:val="3"/>
  </w:num>
  <w:num w:numId="14">
    <w:abstractNumId w:val="1"/>
  </w:num>
  <w:num w:numId="15">
    <w:abstractNumId w:val="21"/>
  </w:num>
  <w:num w:numId="16">
    <w:abstractNumId w:val="23"/>
  </w:num>
  <w:num w:numId="17">
    <w:abstractNumId w:val="6"/>
  </w:num>
  <w:num w:numId="18">
    <w:abstractNumId w:val="27"/>
  </w:num>
  <w:num w:numId="19">
    <w:abstractNumId w:val="38"/>
  </w:num>
  <w:num w:numId="20">
    <w:abstractNumId w:val="16"/>
  </w:num>
  <w:num w:numId="21">
    <w:abstractNumId w:val="22"/>
  </w:num>
  <w:num w:numId="22">
    <w:abstractNumId w:val="12"/>
  </w:num>
  <w:num w:numId="23">
    <w:abstractNumId w:val="24"/>
  </w:num>
  <w:num w:numId="24">
    <w:abstractNumId w:val="32"/>
  </w:num>
  <w:num w:numId="25">
    <w:abstractNumId w:val="13"/>
  </w:num>
  <w:num w:numId="26">
    <w:abstractNumId w:val="28"/>
  </w:num>
  <w:num w:numId="27">
    <w:abstractNumId w:val="36"/>
  </w:num>
  <w:num w:numId="28">
    <w:abstractNumId w:val="4"/>
  </w:num>
  <w:num w:numId="29">
    <w:abstractNumId w:val="39"/>
  </w:num>
  <w:num w:numId="30">
    <w:abstractNumId w:val="8"/>
  </w:num>
  <w:num w:numId="31">
    <w:abstractNumId w:val="18"/>
  </w:num>
  <w:num w:numId="32">
    <w:abstractNumId w:val="20"/>
  </w:num>
  <w:num w:numId="33">
    <w:abstractNumId w:val="17"/>
  </w:num>
  <w:num w:numId="34">
    <w:abstractNumId w:val="25"/>
  </w:num>
  <w:num w:numId="35">
    <w:abstractNumId w:val="19"/>
  </w:num>
  <w:num w:numId="36">
    <w:abstractNumId w:val="30"/>
  </w:num>
  <w:num w:numId="37">
    <w:abstractNumId w:val="2"/>
  </w:num>
  <w:num w:numId="38">
    <w:abstractNumId w:val="15"/>
  </w:num>
  <w:num w:numId="39">
    <w:abstractNumId w:val="11"/>
  </w:num>
  <w:num w:numId="40">
    <w:abstractNumId w:val="26"/>
  </w:num>
  <w:num w:numId="41">
    <w:abstractNumId w:val="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F3E80"/>
    <w:rsid w:val="00035935"/>
    <w:rsid w:val="000C619B"/>
    <w:rsid w:val="000F3E80"/>
    <w:rsid w:val="001A58B8"/>
    <w:rsid w:val="0032067B"/>
    <w:rsid w:val="00372E06"/>
    <w:rsid w:val="00380E98"/>
    <w:rsid w:val="00384C6F"/>
    <w:rsid w:val="003B43F8"/>
    <w:rsid w:val="00487035"/>
    <w:rsid w:val="00490AA2"/>
    <w:rsid w:val="005160F5"/>
    <w:rsid w:val="00520E0E"/>
    <w:rsid w:val="0052647E"/>
    <w:rsid w:val="0054545D"/>
    <w:rsid w:val="0057695D"/>
    <w:rsid w:val="006376EB"/>
    <w:rsid w:val="006C677B"/>
    <w:rsid w:val="00721FDC"/>
    <w:rsid w:val="007C554C"/>
    <w:rsid w:val="00841EE6"/>
    <w:rsid w:val="00845EA5"/>
    <w:rsid w:val="008B03EA"/>
    <w:rsid w:val="00927931"/>
    <w:rsid w:val="00953DE1"/>
    <w:rsid w:val="00A57251"/>
    <w:rsid w:val="00AE0860"/>
    <w:rsid w:val="00B8545A"/>
    <w:rsid w:val="00BC7D55"/>
    <w:rsid w:val="00C3151F"/>
    <w:rsid w:val="00C53708"/>
    <w:rsid w:val="00CC3B84"/>
    <w:rsid w:val="00CE1E3F"/>
    <w:rsid w:val="00D4568D"/>
    <w:rsid w:val="00DE2E07"/>
    <w:rsid w:val="00E10705"/>
    <w:rsid w:val="00E27A2A"/>
    <w:rsid w:val="00E34375"/>
    <w:rsid w:val="00E40686"/>
    <w:rsid w:val="00EB1F4F"/>
    <w:rsid w:val="00ED777A"/>
    <w:rsid w:val="00FA393B"/>
    <w:rsid w:val="00FB0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80"/>
    <w:rPr>
      <w:rFonts w:ascii="Tahoma" w:eastAsia="Times New Roman" w:hAnsi="Tahoma"/>
      <w:sz w:val="22"/>
      <w:lang w:val="fr-FR"/>
    </w:rPr>
  </w:style>
  <w:style w:type="paragraph" w:styleId="Titre1">
    <w:name w:val="heading 1"/>
    <w:basedOn w:val="Normal"/>
    <w:next w:val="Normal"/>
    <w:link w:val="Titre1Car"/>
    <w:autoRedefine/>
    <w:qFormat/>
    <w:rsid w:val="000F3E80"/>
    <w:pPr>
      <w:keepNext/>
      <w:tabs>
        <w:tab w:val="left" w:pos="1418"/>
      </w:tabs>
      <w:spacing w:after="60"/>
      <w:outlineLvl w:val="0"/>
    </w:pPr>
    <w:rPr>
      <w:rFonts w:cs="Tahoma"/>
      <w:b/>
      <w:snapToGrid w:val="0"/>
      <w:sz w:val="24"/>
      <w:szCs w:val="32"/>
    </w:rPr>
  </w:style>
  <w:style w:type="paragraph" w:styleId="Titre2">
    <w:name w:val="heading 2"/>
    <w:basedOn w:val="Normal"/>
    <w:next w:val="Normal"/>
    <w:link w:val="Titre2Car"/>
    <w:qFormat/>
    <w:rsid w:val="000F3E80"/>
    <w:pPr>
      <w:keepNext/>
      <w:tabs>
        <w:tab w:val="left" w:pos="1418"/>
      </w:tabs>
      <w:spacing w:after="60"/>
      <w:jc w:val="both"/>
      <w:outlineLvl w:val="1"/>
    </w:pPr>
    <w:rPr>
      <w:b/>
      <w:snapToGrid w:val="0"/>
      <w:sz w:val="24"/>
      <w:u w:val="single"/>
    </w:rPr>
  </w:style>
  <w:style w:type="paragraph" w:styleId="Titre3">
    <w:name w:val="heading 3"/>
    <w:basedOn w:val="Normal"/>
    <w:next w:val="Normal"/>
    <w:link w:val="Titre3Car"/>
    <w:autoRedefine/>
    <w:qFormat/>
    <w:rsid w:val="000F3E80"/>
    <w:pPr>
      <w:keepNext/>
      <w:keepLines/>
      <w:spacing w:line="276" w:lineRule="auto"/>
      <w:jc w:val="both"/>
      <w:outlineLvl w:val="2"/>
    </w:pPr>
    <w:rPr>
      <w:rFonts w:cs="Tahoma"/>
      <w:b/>
      <w:u w:val="single"/>
      <w:lang w:val="fr-BE"/>
    </w:rPr>
  </w:style>
  <w:style w:type="paragraph" w:styleId="Titre4">
    <w:name w:val="heading 4"/>
    <w:basedOn w:val="Normal"/>
    <w:next w:val="Normal"/>
    <w:link w:val="Titre4Car"/>
    <w:autoRedefine/>
    <w:qFormat/>
    <w:rsid w:val="000F3E80"/>
    <w:pPr>
      <w:keepNext/>
      <w:tabs>
        <w:tab w:val="left" w:pos="851"/>
      </w:tabs>
      <w:spacing w:line="276" w:lineRule="auto"/>
      <w:jc w:val="both"/>
      <w:outlineLvl w:val="3"/>
    </w:pPr>
    <w:rPr>
      <w:rFonts w:cs="Tahoma"/>
      <w:i/>
      <w:snapToGrid w:val="0"/>
      <w:u w:val="single"/>
    </w:rPr>
  </w:style>
  <w:style w:type="paragraph" w:styleId="Titre5">
    <w:name w:val="heading 5"/>
    <w:basedOn w:val="Normal"/>
    <w:next w:val="Normal"/>
    <w:link w:val="Titre5Car"/>
    <w:autoRedefine/>
    <w:qFormat/>
    <w:rsid w:val="000F3E80"/>
    <w:pPr>
      <w:keepNext/>
      <w:tabs>
        <w:tab w:val="left" w:pos="1418"/>
      </w:tabs>
      <w:spacing w:after="60"/>
      <w:outlineLvl w:val="4"/>
    </w:pPr>
    <w:rPr>
      <w:b/>
      <w:i/>
      <w:snapToGrid w:val="0"/>
    </w:rPr>
  </w:style>
  <w:style w:type="paragraph" w:styleId="Titre6">
    <w:name w:val="heading 6"/>
    <w:basedOn w:val="Normal"/>
    <w:next w:val="Normal"/>
    <w:link w:val="Titre6Car"/>
    <w:qFormat/>
    <w:rsid w:val="000F3E80"/>
    <w:pPr>
      <w:keepNext/>
      <w:tabs>
        <w:tab w:val="left" w:pos="1418"/>
      </w:tabs>
      <w:spacing w:after="60" w:line="360" w:lineRule="auto"/>
      <w:jc w:val="both"/>
      <w:outlineLvl w:val="5"/>
    </w:pPr>
    <w:rPr>
      <w:rFonts w:ascii="Verdana" w:hAnsi="Verdana"/>
      <w:b/>
      <w:snapToGrid w:val="0"/>
      <w:u w:val="single"/>
    </w:rPr>
  </w:style>
  <w:style w:type="paragraph" w:styleId="Titre7">
    <w:name w:val="heading 7"/>
    <w:basedOn w:val="Normal"/>
    <w:next w:val="Normal"/>
    <w:link w:val="Titre7Car"/>
    <w:qFormat/>
    <w:rsid w:val="000F3E80"/>
    <w:pPr>
      <w:keepNext/>
      <w:tabs>
        <w:tab w:val="left" w:pos="1418"/>
      </w:tabs>
      <w:spacing w:after="60"/>
      <w:outlineLvl w:val="6"/>
    </w:pPr>
    <w:rPr>
      <w:rFonts w:ascii="Verdana" w:hAnsi="Verdana"/>
      <w:snapToGrid w:val="0"/>
    </w:rPr>
  </w:style>
  <w:style w:type="paragraph" w:styleId="Titre8">
    <w:name w:val="heading 8"/>
    <w:basedOn w:val="Normal"/>
    <w:next w:val="Normal"/>
    <w:link w:val="Titre8Car"/>
    <w:qFormat/>
    <w:rsid w:val="000F3E80"/>
    <w:pPr>
      <w:keepNext/>
      <w:tabs>
        <w:tab w:val="left" w:pos="1418"/>
      </w:tabs>
      <w:spacing w:after="60"/>
      <w:outlineLvl w:val="7"/>
    </w:pPr>
    <w:rPr>
      <w:rFonts w:ascii="Verdana" w:hAnsi="Verdana"/>
      <w:b/>
      <w:snapToGrid w:val="0"/>
    </w:rPr>
  </w:style>
  <w:style w:type="paragraph" w:styleId="Titre9">
    <w:name w:val="heading 9"/>
    <w:basedOn w:val="Normal"/>
    <w:next w:val="Normal"/>
    <w:link w:val="Titre9Car"/>
    <w:qFormat/>
    <w:rsid w:val="000F3E80"/>
    <w:pPr>
      <w:keepNext/>
      <w:tabs>
        <w:tab w:val="left" w:pos="1418"/>
      </w:tabs>
      <w:spacing w:after="60"/>
      <w:jc w:val="center"/>
      <w:outlineLvl w:val="8"/>
    </w:pPr>
    <w:rPr>
      <w:rFonts w:ascii="Verdana" w:hAnsi="Verdana"/>
      <w:b/>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F3E80"/>
    <w:rPr>
      <w:rFonts w:ascii="Tahoma" w:eastAsia="Times New Roman" w:hAnsi="Tahoma" w:cs="Tahoma"/>
      <w:b/>
      <w:snapToGrid w:val="0"/>
      <w:sz w:val="24"/>
      <w:szCs w:val="32"/>
      <w:lang w:val="fr-FR" w:eastAsia="fr-BE"/>
    </w:rPr>
  </w:style>
  <w:style w:type="character" w:customStyle="1" w:styleId="Titre2Car">
    <w:name w:val="Titre 2 Car"/>
    <w:basedOn w:val="Policepardfaut"/>
    <w:link w:val="Titre2"/>
    <w:rsid w:val="000F3E80"/>
    <w:rPr>
      <w:rFonts w:ascii="Tahoma" w:eastAsia="Times New Roman" w:hAnsi="Tahoma" w:cs="Times New Roman"/>
      <w:b/>
      <w:snapToGrid w:val="0"/>
      <w:sz w:val="24"/>
      <w:szCs w:val="20"/>
      <w:u w:val="single"/>
      <w:lang w:val="fr-FR" w:eastAsia="fr-BE"/>
    </w:rPr>
  </w:style>
  <w:style w:type="character" w:customStyle="1" w:styleId="Titre3Car">
    <w:name w:val="Titre 3 Car"/>
    <w:basedOn w:val="Policepardfaut"/>
    <w:link w:val="Titre3"/>
    <w:rsid w:val="000F3E80"/>
    <w:rPr>
      <w:rFonts w:ascii="Tahoma" w:eastAsia="Times New Roman" w:hAnsi="Tahoma" w:cs="Tahoma"/>
      <w:b/>
      <w:szCs w:val="20"/>
      <w:u w:val="single"/>
      <w:lang w:eastAsia="fr-BE"/>
    </w:rPr>
  </w:style>
  <w:style w:type="character" w:customStyle="1" w:styleId="Titre4Car">
    <w:name w:val="Titre 4 Car"/>
    <w:basedOn w:val="Policepardfaut"/>
    <w:link w:val="Titre4"/>
    <w:rsid w:val="000F3E80"/>
    <w:rPr>
      <w:rFonts w:ascii="Tahoma" w:eastAsia="Times New Roman" w:hAnsi="Tahoma" w:cs="Tahoma"/>
      <w:i/>
      <w:snapToGrid w:val="0"/>
      <w:szCs w:val="20"/>
      <w:u w:val="single"/>
      <w:lang w:val="fr-FR" w:eastAsia="fr-BE"/>
    </w:rPr>
  </w:style>
  <w:style w:type="character" w:customStyle="1" w:styleId="Titre5Car">
    <w:name w:val="Titre 5 Car"/>
    <w:basedOn w:val="Policepardfaut"/>
    <w:link w:val="Titre5"/>
    <w:rsid w:val="000F3E80"/>
    <w:rPr>
      <w:rFonts w:ascii="Tahoma" w:eastAsia="Times New Roman" w:hAnsi="Tahoma" w:cs="Times New Roman"/>
      <w:b/>
      <w:i/>
      <w:snapToGrid w:val="0"/>
      <w:szCs w:val="20"/>
      <w:lang w:val="fr-FR" w:eastAsia="fr-BE"/>
    </w:rPr>
  </w:style>
  <w:style w:type="character" w:customStyle="1" w:styleId="Titre6Car">
    <w:name w:val="Titre 6 Car"/>
    <w:basedOn w:val="Policepardfaut"/>
    <w:link w:val="Titre6"/>
    <w:rsid w:val="000F3E80"/>
    <w:rPr>
      <w:rFonts w:ascii="Verdana" w:eastAsia="Times New Roman" w:hAnsi="Verdana" w:cs="Times New Roman"/>
      <w:b/>
      <w:snapToGrid w:val="0"/>
      <w:szCs w:val="20"/>
      <w:u w:val="single"/>
      <w:lang w:val="fr-FR" w:eastAsia="fr-BE"/>
    </w:rPr>
  </w:style>
  <w:style w:type="character" w:customStyle="1" w:styleId="Titre7Car">
    <w:name w:val="Titre 7 Car"/>
    <w:basedOn w:val="Policepardfaut"/>
    <w:link w:val="Titre7"/>
    <w:rsid w:val="000F3E80"/>
    <w:rPr>
      <w:rFonts w:ascii="Verdana" w:eastAsia="Times New Roman" w:hAnsi="Verdana" w:cs="Times New Roman"/>
      <w:snapToGrid w:val="0"/>
      <w:szCs w:val="20"/>
      <w:lang w:val="fr-FR" w:eastAsia="fr-BE"/>
    </w:rPr>
  </w:style>
  <w:style w:type="character" w:customStyle="1" w:styleId="Titre8Car">
    <w:name w:val="Titre 8 Car"/>
    <w:basedOn w:val="Policepardfaut"/>
    <w:link w:val="Titre8"/>
    <w:rsid w:val="000F3E80"/>
    <w:rPr>
      <w:rFonts w:ascii="Verdana" w:eastAsia="Times New Roman" w:hAnsi="Verdana" w:cs="Times New Roman"/>
      <w:b/>
      <w:snapToGrid w:val="0"/>
      <w:szCs w:val="20"/>
      <w:lang w:val="fr-FR" w:eastAsia="fr-BE"/>
    </w:rPr>
  </w:style>
  <w:style w:type="character" w:customStyle="1" w:styleId="Titre9Car">
    <w:name w:val="Titre 9 Car"/>
    <w:basedOn w:val="Policepardfaut"/>
    <w:link w:val="Titre9"/>
    <w:rsid w:val="000F3E80"/>
    <w:rPr>
      <w:rFonts w:ascii="Verdana" w:eastAsia="Times New Roman" w:hAnsi="Verdana" w:cs="Times New Roman"/>
      <w:b/>
      <w:snapToGrid w:val="0"/>
      <w:szCs w:val="20"/>
      <w:u w:val="single"/>
      <w:lang w:val="fr-FR" w:eastAsia="fr-BE"/>
    </w:rPr>
  </w:style>
  <w:style w:type="paragraph" w:styleId="Corpsdetexte">
    <w:name w:val="Body Text"/>
    <w:basedOn w:val="Normal"/>
    <w:link w:val="CorpsdetexteCar"/>
    <w:semiHidden/>
    <w:rsid w:val="000F3E80"/>
    <w:pPr>
      <w:tabs>
        <w:tab w:val="left" w:pos="1418"/>
      </w:tabs>
      <w:spacing w:after="60"/>
    </w:pPr>
    <w:rPr>
      <w:rFonts w:ascii="Verdana" w:hAnsi="Verdana"/>
      <w:b/>
      <w:snapToGrid w:val="0"/>
    </w:rPr>
  </w:style>
  <w:style w:type="character" w:customStyle="1" w:styleId="CorpsdetexteCar">
    <w:name w:val="Corps de texte Car"/>
    <w:basedOn w:val="Policepardfaut"/>
    <w:link w:val="Corpsdetexte"/>
    <w:semiHidden/>
    <w:rsid w:val="000F3E80"/>
    <w:rPr>
      <w:rFonts w:ascii="Verdana" w:eastAsia="Times New Roman" w:hAnsi="Verdana" w:cs="Times New Roman"/>
      <w:b/>
      <w:snapToGrid w:val="0"/>
      <w:szCs w:val="20"/>
      <w:lang w:val="fr-FR" w:eastAsia="fr-BE"/>
    </w:rPr>
  </w:style>
  <w:style w:type="character" w:customStyle="1" w:styleId="Prambule">
    <w:name w:val="Préambule"/>
    <w:rsid w:val="000F3E80"/>
    <w:rPr>
      <w:rFonts w:ascii="Verdana" w:hAnsi="Verdana"/>
      <w:b/>
      <w:sz w:val="28"/>
      <w:u w:val="single"/>
    </w:rPr>
  </w:style>
  <w:style w:type="paragraph" w:styleId="Corpsdetexte2">
    <w:name w:val="Body Text 2"/>
    <w:basedOn w:val="Normal"/>
    <w:link w:val="Corpsdetexte2Car"/>
    <w:rsid w:val="000F3E80"/>
    <w:pPr>
      <w:tabs>
        <w:tab w:val="left" w:pos="1418"/>
      </w:tabs>
      <w:spacing w:after="60"/>
      <w:jc w:val="both"/>
    </w:pPr>
    <w:rPr>
      <w:rFonts w:ascii="Verdana" w:hAnsi="Verdana"/>
      <w:snapToGrid w:val="0"/>
    </w:rPr>
  </w:style>
  <w:style w:type="character" w:customStyle="1" w:styleId="Corpsdetexte2Car">
    <w:name w:val="Corps de texte 2 Car"/>
    <w:basedOn w:val="Policepardfaut"/>
    <w:link w:val="Corpsdetexte2"/>
    <w:rsid w:val="000F3E80"/>
    <w:rPr>
      <w:rFonts w:ascii="Verdana" w:eastAsia="Times New Roman" w:hAnsi="Verdana" w:cs="Times New Roman"/>
      <w:snapToGrid w:val="0"/>
      <w:szCs w:val="20"/>
      <w:lang w:val="fr-FR" w:eastAsia="fr-BE"/>
    </w:rPr>
  </w:style>
  <w:style w:type="paragraph" w:styleId="TM1">
    <w:name w:val="toc 1"/>
    <w:basedOn w:val="Normal"/>
    <w:next w:val="Normal"/>
    <w:autoRedefine/>
    <w:uiPriority w:val="39"/>
    <w:rsid w:val="000F3E80"/>
    <w:pPr>
      <w:tabs>
        <w:tab w:val="right" w:leader="dot" w:pos="9061"/>
      </w:tabs>
      <w:spacing w:before="120"/>
    </w:pPr>
    <w:rPr>
      <w:b/>
      <w:i/>
      <w:noProof/>
      <w:snapToGrid w:val="0"/>
    </w:rPr>
  </w:style>
  <w:style w:type="paragraph" w:styleId="TM2">
    <w:name w:val="toc 2"/>
    <w:basedOn w:val="Normal"/>
    <w:next w:val="Normal"/>
    <w:autoRedefine/>
    <w:uiPriority w:val="39"/>
    <w:rsid w:val="000F3E80"/>
    <w:pPr>
      <w:spacing w:before="120"/>
      <w:ind w:left="200"/>
    </w:pPr>
    <w:rPr>
      <w:b/>
      <w:snapToGrid w:val="0"/>
    </w:rPr>
  </w:style>
  <w:style w:type="paragraph" w:styleId="TM3">
    <w:name w:val="toc 3"/>
    <w:basedOn w:val="Normal"/>
    <w:next w:val="Normal"/>
    <w:autoRedefine/>
    <w:uiPriority w:val="39"/>
    <w:rsid w:val="000F3E80"/>
    <w:pPr>
      <w:tabs>
        <w:tab w:val="right" w:leader="dot" w:pos="9061"/>
      </w:tabs>
      <w:ind w:left="400"/>
    </w:pPr>
    <w:rPr>
      <w:noProof/>
      <w:snapToGrid w:val="0"/>
    </w:rPr>
  </w:style>
  <w:style w:type="paragraph" w:styleId="TM4">
    <w:name w:val="toc 4"/>
    <w:basedOn w:val="Normal"/>
    <w:next w:val="Normal"/>
    <w:autoRedefine/>
    <w:uiPriority w:val="39"/>
    <w:rsid w:val="000F3E80"/>
    <w:pPr>
      <w:ind w:left="600"/>
    </w:pPr>
    <w:rPr>
      <w:snapToGrid w:val="0"/>
    </w:rPr>
  </w:style>
  <w:style w:type="character" w:styleId="Lienhypertexte">
    <w:name w:val="Hyperlink"/>
    <w:basedOn w:val="Policepardfaut"/>
    <w:uiPriority w:val="99"/>
    <w:rsid w:val="000F3E80"/>
    <w:rPr>
      <w:color w:val="0000FF"/>
      <w:u w:val="single"/>
    </w:rPr>
  </w:style>
  <w:style w:type="paragraph" w:customStyle="1" w:styleId="corosdetextecentr">
    <w:name w:val="coros de texte centré"/>
    <w:basedOn w:val="Corpsdetexte"/>
    <w:rsid w:val="000F3E80"/>
    <w:pPr>
      <w:jc w:val="center"/>
    </w:pPr>
    <w:rPr>
      <w:b w:val="0"/>
    </w:rPr>
  </w:style>
  <w:style w:type="paragraph" w:styleId="En-tte">
    <w:name w:val="header"/>
    <w:basedOn w:val="Normal"/>
    <w:link w:val="En-tteCar"/>
    <w:uiPriority w:val="99"/>
    <w:rsid w:val="000F3E80"/>
    <w:pPr>
      <w:tabs>
        <w:tab w:val="left" w:pos="1418"/>
        <w:tab w:val="center" w:pos="4536"/>
        <w:tab w:val="right" w:pos="9072"/>
      </w:tabs>
      <w:spacing w:after="60"/>
      <w:jc w:val="both"/>
    </w:pPr>
    <w:rPr>
      <w:rFonts w:ascii="Verdana" w:hAnsi="Verdana"/>
      <w:snapToGrid w:val="0"/>
    </w:rPr>
  </w:style>
  <w:style w:type="character" w:customStyle="1" w:styleId="En-tteCar">
    <w:name w:val="En-tête Car"/>
    <w:basedOn w:val="Policepardfaut"/>
    <w:link w:val="En-tte"/>
    <w:uiPriority w:val="99"/>
    <w:rsid w:val="000F3E80"/>
    <w:rPr>
      <w:rFonts w:ascii="Verdana" w:eastAsia="Times New Roman" w:hAnsi="Verdana" w:cs="Times New Roman"/>
      <w:snapToGrid w:val="0"/>
      <w:szCs w:val="20"/>
      <w:lang w:val="fr-FR" w:eastAsia="fr-BE"/>
    </w:rPr>
  </w:style>
  <w:style w:type="character" w:styleId="Appelnotedebasdep">
    <w:name w:val="footnote reference"/>
    <w:aliases w:val="ESPON Footnote No,Footnote"/>
    <w:basedOn w:val="Policepardfaut"/>
    <w:uiPriority w:val="99"/>
    <w:rsid w:val="000F3E80"/>
    <w:rPr>
      <w:vertAlign w:val="superscript"/>
    </w:rPr>
  </w:style>
  <w:style w:type="paragraph" w:styleId="Retraitcorpsdetexte">
    <w:name w:val="Body Text Indent"/>
    <w:basedOn w:val="Normal"/>
    <w:link w:val="RetraitcorpsdetexteCar"/>
    <w:rsid w:val="000F3E80"/>
    <w:pPr>
      <w:tabs>
        <w:tab w:val="left" w:pos="1418"/>
      </w:tabs>
      <w:spacing w:after="60"/>
      <w:ind w:left="284" w:hanging="284"/>
    </w:pPr>
    <w:rPr>
      <w:rFonts w:ascii="Verdana" w:hAnsi="Verdana"/>
      <w:snapToGrid w:val="0"/>
      <w:lang w:val="fr-BE"/>
    </w:rPr>
  </w:style>
  <w:style w:type="character" w:customStyle="1" w:styleId="RetraitcorpsdetexteCar">
    <w:name w:val="Retrait corps de texte Car"/>
    <w:basedOn w:val="Policepardfaut"/>
    <w:link w:val="Retraitcorpsdetexte"/>
    <w:rsid w:val="000F3E80"/>
    <w:rPr>
      <w:rFonts w:ascii="Verdana" w:eastAsia="Times New Roman" w:hAnsi="Verdana" w:cs="Times New Roman"/>
      <w:snapToGrid w:val="0"/>
      <w:szCs w:val="20"/>
      <w:lang w:eastAsia="fr-BE"/>
    </w:rPr>
  </w:style>
  <w:style w:type="paragraph" w:styleId="Textebrut">
    <w:name w:val="Plain Text"/>
    <w:basedOn w:val="Normal"/>
    <w:link w:val="TextebrutCar"/>
    <w:semiHidden/>
    <w:rsid w:val="000F3E80"/>
    <w:rPr>
      <w:rFonts w:ascii="Courier New" w:hAnsi="Courier New"/>
    </w:rPr>
  </w:style>
  <w:style w:type="character" w:customStyle="1" w:styleId="TextebrutCar">
    <w:name w:val="Texte brut Car"/>
    <w:basedOn w:val="Policepardfaut"/>
    <w:link w:val="Textebrut"/>
    <w:semiHidden/>
    <w:rsid w:val="000F3E80"/>
    <w:rPr>
      <w:rFonts w:ascii="Courier New" w:eastAsia="Times New Roman" w:hAnsi="Courier New" w:cs="Times New Roman"/>
      <w:szCs w:val="20"/>
      <w:lang w:val="fr-FR" w:eastAsia="fr-BE"/>
    </w:rPr>
  </w:style>
  <w:style w:type="paragraph" w:styleId="Corpsdetexte3">
    <w:name w:val="Body Text 3"/>
    <w:basedOn w:val="Normal"/>
    <w:link w:val="Corpsdetexte3Car"/>
    <w:semiHidden/>
    <w:rsid w:val="000F3E80"/>
    <w:pPr>
      <w:tabs>
        <w:tab w:val="left" w:pos="1418"/>
      </w:tabs>
      <w:spacing w:after="60"/>
      <w:jc w:val="center"/>
    </w:pPr>
    <w:rPr>
      <w:rFonts w:ascii="Verdana" w:hAnsi="Verdana"/>
      <w:b/>
      <w:snapToGrid w:val="0"/>
    </w:rPr>
  </w:style>
  <w:style w:type="character" w:customStyle="1" w:styleId="Corpsdetexte3Car">
    <w:name w:val="Corps de texte 3 Car"/>
    <w:basedOn w:val="Policepardfaut"/>
    <w:link w:val="Corpsdetexte3"/>
    <w:semiHidden/>
    <w:rsid w:val="000F3E80"/>
    <w:rPr>
      <w:rFonts w:ascii="Verdana" w:eastAsia="Times New Roman" w:hAnsi="Verdana" w:cs="Times New Roman"/>
      <w:b/>
      <w:snapToGrid w:val="0"/>
      <w:szCs w:val="20"/>
      <w:lang w:val="fr-FR" w:eastAsia="fr-BE"/>
    </w:rPr>
  </w:style>
  <w:style w:type="character" w:styleId="Accentuation">
    <w:name w:val="Emphasis"/>
    <w:basedOn w:val="Policepardfaut"/>
    <w:uiPriority w:val="20"/>
    <w:qFormat/>
    <w:rsid w:val="000F3E80"/>
    <w:rPr>
      <w:i/>
    </w:rPr>
  </w:style>
  <w:style w:type="character" w:customStyle="1" w:styleId="Fort">
    <w:name w:val="Fort"/>
    <w:rsid w:val="000F3E80"/>
    <w:rPr>
      <w:b/>
    </w:rPr>
  </w:style>
  <w:style w:type="paragraph" w:styleId="Pieddepage">
    <w:name w:val="footer"/>
    <w:basedOn w:val="Normal"/>
    <w:link w:val="PieddepageCar"/>
    <w:uiPriority w:val="99"/>
    <w:rsid w:val="000F3E80"/>
    <w:pPr>
      <w:tabs>
        <w:tab w:val="left" w:pos="1418"/>
        <w:tab w:val="center" w:pos="4536"/>
        <w:tab w:val="right" w:pos="9072"/>
      </w:tabs>
      <w:spacing w:after="60"/>
      <w:jc w:val="both"/>
    </w:pPr>
    <w:rPr>
      <w:rFonts w:ascii="Verdana" w:hAnsi="Verdana"/>
      <w:snapToGrid w:val="0"/>
    </w:rPr>
  </w:style>
  <w:style w:type="character" w:customStyle="1" w:styleId="PieddepageCar">
    <w:name w:val="Pied de page Car"/>
    <w:basedOn w:val="Policepardfaut"/>
    <w:link w:val="Pieddepage"/>
    <w:uiPriority w:val="99"/>
    <w:rsid w:val="000F3E80"/>
    <w:rPr>
      <w:rFonts w:ascii="Verdana" w:eastAsia="Times New Roman" w:hAnsi="Verdana" w:cs="Times New Roman"/>
      <w:snapToGrid w:val="0"/>
      <w:szCs w:val="20"/>
      <w:lang w:val="fr-FR" w:eastAsia="fr-BE"/>
    </w:rPr>
  </w:style>
  <w:style w:type="paragraph" w:styleId="Paragraphedeliste">
    <w:name w:val="List Paragraph"/>
    <w:basedOn w:val="Normal"/>
    <w:uiPriority w:val="34"/>
    <w:qFormat/>
    <w:rsid w:val="000F3E80"/>
    <w:pPr>
      <w:ind w:left="708"/>
    </w:pPr>
  </w:style>
  <w:style w:type="paragraph" w:styleId="Notedebasdepage">
    <w:name w:val="footnote text"/>
    <w:basedOn w:val="Normal"/>
    <w:link w:val="NotedebasdepageCar"/>
    <w:uiPriority w:val="99"/>
    <w:rsid w:val="000F3E80"/>
    <w:pPr>
      <w:tabs>
        <w:tab w:val="left" w:pos="1418"/>
      </w:tabs>
      <w:suppressAutoHyphens/>
      <w:spacing w:after="60"/>
      <w:jc w:val="both"/>
    </w:pPr>
    <w:rPr>
      <w:rFonts w:ascii="Verdana" w:hAnsi="Verdana"/>
      <w:snapToGrid w:val="0"/>
      <w:sz w:val="16"/>
    </w:rPr>
  </w:style>
  <w:style w:type="character" w:customStyle="1" w:styleId="NotedebasdepageCar">
    <w:name w:val="Note de bas de page Car"/>
    <w:basedOn w:val="Policepardfaut"/>
    <w:link w:val="Notedebasdepage"/>
    <w:uiPriority w:val="99"/>
    <w:rsid w:val="000F3E80"/>
    <w:rPr>
      <w:rFonts w:ascii="Verdana" w:eastAsia="Times New Roman" w:hAnsi="Verdana" w:cs="Times New Roman"/>
      <w:snapToGrid w:val="0"/>
      <w:sz w:val="16"/>
      <w:szCs w:val="20"/>
      <w:lang w:val="fr-FR" w:eastAsia="fr-BE"/>
    </w:rPr>
  </w:style>
  <w:style w:type="paragraph" w:styleId="Titre">
    <w:name w:val="Title"/>
    <w:basedOn w:val="Normal"/>
    <w:link w:val="TitreCar"/>
    <w:qFormat/>
    <w:rsid w:val="000F3E80"/>
    <w:pPr>
      <w:framePr w:wrap="notBeside" w:vAnchor="text" w:hAnchor="text" w:y="1"/>
      <w:tabs>
        <w:tab w:val="left" w:pos="1418"/>
      </w:tabs>
      <w:spacing w:after="60"/>
      <w:jc w:val="both"/>
    </w:pPr>
    <w:rPr>
      <w:rFonts w:ascii="Verdana" w:hAnsi="Verdana"/>
      <w:b/>
      <w:snapToGrid w:val="0"/>
      <w:sz w:val="28"/>
    </w:rPr>
  </w:style>
  <w:style w:type="character" w:customStyle="1" w:styleId="TitreCar">
    <w:name w:val="Titre Car"/>
    <w:basedOn w:val="Policepardfaut"/>
    <w:link w:val="Titre"/>
    <w:rsid w:val="000F3E80"/>
    <w:rPr>
      <w:rFonts w:ascii="Verdana" w:eastAsia="Times New Roman" w:hAnsi="Verdana" w:cs="Times New Roman"/>
      <w:b/>
      <w:snapToGrid w:val="0"/>
      <w:sz w:val="28"/>
      <w:szCs w:val="20"/>
      <w:lang w:val="fr-FR" w:eastAsia="fr-BE"/>
    </w:rPr>
  </w:style>
  <w:style w:type="paragraph" w:styleId="Textedebulles">
    <w:name w:val="Balloon Text"/>
    <w:basedOn w:val="Normal"/>
    <w:link w:val="TextedebullesCar"/>
    <w:semiHidden/>
    <w:rsid w:val="000F3E80"/>
    <w:pPr>
      <w:tabs>
        <w:tab w:val="left" w:pos="1418"/>
      </w:tabs>
      <w:spacing w:after="60"/>
    </w:pPr>
    <w:rPr>
      <w:snapToGrid w:val="0"/>
      <w:sz w:val="16"/>
    </w:rPr>
  </w:style>
  <w:style w:type="character" w:customStyle="1" w:styleId="TextedebullesCar">
    <w:name w:val="Texte de bulles Car"/>
    <w:basedOn w:val="Policepardfaut"/>
    <w:link w:val="Textedebulles"/>
    <w:semiHidden/>
    <w:rsid w:val="000F3E80"/>
    <w:rPr>
      <w:rFonts w:ascii="Tahoma" w:eastAsia="Times New Roman" w:hAnsi="Tahoma" w:cs="Times New Roman"/>
      <w:snapToGrid w:val="0"/>
      <w:sz w:val="16"/>
      <w:szCs w:val="20"/>
      <w:lang w:val="fr-FR" w:eastAsia="fr-BE"/>
    </w:rPr>
  </w:style>
  <w:style w:type="character" w:styleId="Numrodepage">
    <w:name w:val="page number"/>
    <w:basedOn w:val="Policepardfaut"/>
    <w:semiHidden/>
    <w:rsid w:val="000F3E80"/>
  </w:style>
  <w:style w:type="character" w:styleId="Marquedecommentaire">
    <w:name w:val="annotation reference"/>
    <w:basedOn w:val="Policepardfaut"/>
    <w:semiHidden/>
    <w:rsid w:val="000F3E80"/>
    <w:rPr>
      <w:sz w:val="16"/>
    </w:rPr>
  </w:style>
  <w:style w:type="paragraph" w:styleId="Commentaire">
    <w:name w:val="annotation text"/>
    <w:basedOn w:val="Normal"/>
    <w:link w:val="CommentaireCar"/>
    <w:rsid w:val="000F3E80"/>
  </w:style>
  <w:style w:type="character" w:customStyle="1" w:styleId="CommentaireCar">
    <w:name w:val="Commentaire Car"/>
    <w:basedOn w:val="Policepardfaut"/>
    <w:link w:val="Commentaire"/>
    <w:rsid w:val="000F3E80"/>
    <w:rPr>
      <w:rFonts w:ascii="Tahoma" w:eastAsia="Times New Roman" w:hAnsi="Tahoma" w:cs="Times New Roman"/>
      <w:szCs w:val="20"/>
      <w:lang w:val="fr-FR" w:eastAsia="fr-BE"/>
    </w:rPr>
  </w:style>
  <w:style w:type="paragraph" w:styleId="Retraitcorpsdetexte2">
    <w:name w:val="Body Text Indent 2"/>
    <w:basedOn w:val="Normal"/>
    <w:link w:val="Retraitcorpsdetexte2Car"/>
    <w:semiHidden/>
    <w:rsid w:val="000F3E80"/>
    <w:pPr>
      <w:ind w:left="426"/>
    </w:pPr>
    <w:rPr>
      <w:rFonts w:ascii="Verdana" w:hAnsi="Verdana"/>
    </w:rPr>
  </w:style>
  <w:style w:type="character" w:customStyle="1" w:styleId="Retraitcorpsdetexte2Car">
    <w:name w:val="Retrait corps de texte 2 Car"/>
    <w:basedOn w:val="Policepardfaut"/>
    <w:link w:val="Retraitcorpsdetexte2"/>
    <w:semiHidden/>
    <w:rsid w:val="000F3E80"/>
    <w:rPr>
      <w:rFonts w:ascii="Verdana" w:eastAsia="Times New Roman" w:hAnsi="Verdana" w:cs="Times New Roman"/>
      <w:szCs w:val="20"/>
      <w:lang w:val="fr-FR" w:eastAsia="fr-BE"/>
    </w:rPr>
  </w:style>
  <w:style w:type="character" w:styleId="Lienhypertextesuivivisit">
    <w:name w:val="FollowedHyperlink"/>
    <w:basedOn w:val="Policepardfaut"/>
    <w:semiHidden/>
    <w:rsid w:val="000F3E80"/>
    <w:rPr>
      <w:color w:val="800080"/>
      <w:u w:val="single"/>
    </w:rPr>
  </w:style>
  <w:style w:type="paragraph" w:styleId="Retraitcorpsdetexte3">
    <w:name w:val="Body Text Indent 3"/>
    <w:basedOn w:val="Normal"/>
    <w:link w:val="Retraitcorpsdetexte3Car"/>
    <w:semiHidden/>
    <w:rsid w:val="000F3E80"/>
    <w:pPr>
      <w:ind w:left="1134"/>
      <w:jc w:val="both"/>
    </w:pPr>
    <w:rPr>
      <w:rFonts w:ascii="Verdana" w:hAnsi="Verdana"/>
    </w:rPr>
  </w:style>
  <w:style w:type="character" w:customStyle="1" w:styleId="Retraitcorpsdetexte3Car">
    <w:name w:val="Retrait corps de texte 3 Car"/>
    <w:basedOn w:val="Policepardfaut"/>
    <w:link w:val="Retraitcorpsdetexte3"/>
    <w:semiHidden/>
    <w:rsid w:val="000F3E80"/>
    <w:rPr>
      <w:rFonts w:ascii="Verdana" w:eastAsia="Times New Roman" w:hAnsi="Verdana" w:cs="Times New Roman"/>
      <w:szCs w:val="20"/>
      <w:lang w:val="fr-FR" w:eastAsia="fr-BE"/>
    </w:rPr>
  </w:style>
  <w:style w:type="paragraph" w:styleId="Objetducommentaire">
    <w:name w:val="annotation subject"/>
    <w:basedOn w:val="Commentaire"/>
    <w:next w:val="Commentaire"/>
    <w:link w:val="ObjetducommentaireCar"/>
    <w:uiPriority w:val="99"/>
    <w:semiHidden/>
    <w:unhideWhenUsed/>
    <w:rsid w:val="000F3E80"/>
    <w:rPr>
      <w:b/>
      <w:bCs/>
    </w:rPr>
  </w:style>
  <w:style w:type="character" w:customStyle="1" w:styleId="ObjetducommentaireCar">
    <w:name w:val="Objet du commentaire Car"/>
    <w:basedOn w:val="CommentaireCar"/>
    <w:link w:val="Objetducommentaire"/>
    <w:uiPriority w:val="99"/>
    <w:semiHidden/>
    <w:rsid w:val="000F3E80"/>
    <w:rPr>
      <w:b/>
      <w:bCs/>
    </w:rPr>
  </w:style>
  <w:style w:type="paragraph" w:styleId="NormalWeb">
    <w:name w:val="Normal (Web)"/>
    <w:basedOn w:val="Normal"/>
    <w:uiPriority w:val="99"/>
    <w:rsid w:val="000F3E80"/>
    <w:pPr>
      <w:spacing w:before="100" w:beforeAutospacing="1" w:after="100" w:afterAutospacing="1"/>
    </w:pPr>
    <w:rPr>
      <w:sz w:val="24"/>
      <w:szCs w:val="24"/>
      <w:lang w:eastAsia="fr-FR"/>
    </w:rPr>
  </w:style>
  <w:style w:type="paragraph" w:styleId="Notedefin">
    <w:name w:val="endnote text"/>
    <w:basedOn w:val="Normal"/>
    <w:link w:val="NotedefinCar"/>
    <w:uiPriority w:val="99"/>
    <w:semiHidden/>
    <w:unhideWhenUsed/>
    <w:rsid w:val="000F3E80"/>
  </w:style>
  <w:style w:type="character" w:customStyle="1" w:styleId="NotedefinCar">
    <w:name w:val="Note de fin Car"/>
    <w:basedOn w:val="Policepardfaut"/>
    <w:link w:val="Notedefin"/>
    <w:uiPriority w:val="99"/>
    <w:semiHidden/>
    <w:rsid w:val="000F3E80"/>
    <w:rPr>
      <w:rFonts w:ascii="Tahoma" w:eastAsia="Times New Roman" w:hAnsi="Tahoma" w:cs="Times New Roman"/>
      <w:szCs w:val="20"/>
      <w:lang w:val="fr-FR" w:eastAsia="fr-BE"/>
    </w:rPr>
  </w:style>
  <w:style w:type="character" w:styleId="Appeldenotedefin">
    <w:name w:val="endnote reference"/>
    <w:basedOn w:val="Policepardfaut"/>
    <w:uiPriority w:val="99"/>
    <w:semiHidden/>
    <w:unhideWhenUsed/>
    <w:rsid w:val="000F3E80"/>
    <w:rPr>
      <w:vertAlign w:val="superscript"/>
    </w:rPr>
  </w:style>
  <w:style w:type="paragraph" w:styleId="Rvision">
    <w:name w:val="Revision"/>
    <w:hidden/>
    <w:uiPriority w:val="99"/>
    <w:semiHidden/>
    <w:rsid w:val="000F3E80"/>
    <w:rPr>
      <w:rFonts w:ascii="Times New Roman" w:eastAsia="Times New Roman" w:hAnsi="Times New Roman"/>
      <w:lang w:val="fr-FR"/>
    </w:rPr>
  </w:style>
  <w:style w:type="paragraph" w:customStyle="1" w:styleId="Default">
    <w:name w:val="Default"/>
    <w:rsid w:val="000F3E80"/>
    <w:pPr>
      <w:autoSpaceDE w:val="0"/>
      <w:autoSpaceDN w:val="0"/>
      <w:adjustRightInd w:val="0"/>
    </w:pPr>
    <w:rPr>
      <w:rFonts w:ascii="Trebuchet MS" w:eastAsia="Times New Roman" w:hAnsi="Trebuchet MS" w:cs="Trebuchet MS"/>
      <w:color w:val="000000"/>
      <w:sz w:val="24"/>
      <w:szCs w:val="24"/>
    </w:rPr>
  </w:style>
  <w:style w:type="table" w:styleId="Grilledutableau">
    <w:name w:val="Table Grid"/>
    <w:basedOn w:val="TableauNormal"/>
    <w:uiPriority w:val="59"/>
    <w:rsid w:val="000F3E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0F3E80"/>
    <w:rPr>
      <w:b/>
      <w:bCs/>
    </w:rPr>
  </w:style>
  <w:style w:type="table" w:styleId="Grillemoyenne3-Accent5">
    <w:name w:val="Medium Grid 3 Accent 5"/>
    <w:basedOn w:val="TableauNormal"/>
    <w:uiPriority w:val="69"/>
    <w:rsid w:val="000F3E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0F3E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rilleclaire-Accent6">
    <w:name w:val="Light Grid Accent 6"/>
    <w:basedOn w:val="TableauNormal"/>
    <w:uiPriority w:val="62"/>
    <w:rsid w:val="000F3E8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Grillemoyenne3-Accent1">
    <w:name w:val="Medium Grid 3 Accent 1"/>
    <w:basedOn w:val="TableauNormal"/>
    <w:uiPriority w:val="69"/>
    <w:rsid w:val="000F3E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ormal1">
    <w:name w:val="Normal1"/>
    <w:basedOn w:val="Normal"/>
    <w:rsid w:val="000F3E80"/>
    <w:pPr>
      <w:spacing w:before="100" w:beforeAutospacing="1" w:after="100" w:afterAutospacing="1"/>
    </w:pPr>
    <w:rPr>
      <w:rFonts w:ascii="Times New Roman" w:hAnsi="Times New Roman"/>
      <w:sz w:val="24"/>
      <w:szCs w:val="24"/>
      <w:lang w:val="fr-BE"/>
    </w:rPr>
  </w:style>
  <w:style w:type="paragraph" w:styleId="Date">
    <w:name w:val="Date"/>
    <w:basedOn w:val="Normal"/>
    <w:next w:val="Normal"/>
    <w:link w:val="DateCar"/>
    <w:semiHidden/>
    <w:rsid w:val="000F3E80"/>
    <w:pPr>
      <w:spacing w:after="120"/>
      <w:jc w:val="both"/>
    </w:pPr>
    <w:rPr>
      <w:rFonts w:ascii="Times New Roman" w:hAnsi="Times New Roman"/>
      <w:sz w:val="24"/>
      <w:lang w:eastAsia="fr-FR"/>
    </w:rPr>
  </w:style>
  <w:style w:type="character" w:customStyle="1" w:styleId="DateCar">
    <w:name w:val="Date Car"/>
    <w:basedOn w:val="Policepardfaut"/>
    <w:link w:val="Date"/>
    <w:semiHidden/>
    <w:rsid w:val="000F3E80"/>
    <w:rPr>
      <w:rFonts w:ascii="Times New Roman" w:eastAsia="Times New Roman" w:hAnsi="Times New Roman" w:cs="Times New Roman"/>
      <w:sz w:val="24"/>
      <w:szCs w:val="20"/>
      <w:lang w:val="fr-FR" w:eastAsia="fr-FR"/>
    </w:rPr>
  </w:style>
  <w:style w:type="paragraph" w:styleId="Normalcentr">
    <w:name w:val="Block Text"/>
    <w:basedOn w:val="Normal"/>
    <w:semiHidden/>
    <w:rsid w:val="000F3E80"/>
    <w:pPr>
      <w:tabs>
        <w:tab w:val="left" w:pos="-720"/>
      </w:tabs>
      <w:ind w:left="425" w:right="85" w:hanging="425"/>
      <w:jc w:val="both"/>
    </w:pPr>
    <w:rPr>
      <w:rFonts w:ascii="Verdana" w:hAnsi="Verdana"/>
      <w:b/>
      <w:lang w:val="fr-BE" w:eastAsia="fr-FR"/>
    </w:rPr>
  </w:style>
  <w:style w:type="character" w:customStyle="1" w:styleId="st">
    <w:name w:val="st"/>
    <w:basedOn w:val="Policepardfaut"/>
    <w:rsid w:val="000F3E80"/>
  </w:style>
  <w:style w:type="paragraph" w:styleId="En-ttedetabledesmatires">
    <w:name w:val="TOC Heading"/>
    <w:basedOn w:val="Titre1"/>
    <w:next w:val="Normal"/>
    <w:uiPriority w:val="39"/>
    <w:unhideWhenUsed/>
    <w:qFormat/>
    <w:rsid w:val="000F3E80"/>
    <w:pPr>
      <w:keepLines/>
      <w:tabs>
        <w:tab w:val="clear" w:pos="1418"/>
      </w:tabs>
      <w:spacing w:before="480" w:after="0" w:line="276" w:lineRule="auto"/>
      <w:outlineLvl w:val="9"/>
    </w:pPr>
    <w:rPr>
      <w:rFonts w:ascii="Cambria" w:hAnsi="Cambria" w:cs="Times New Roman"/>
      <w:bCs/>
      <w:snapToGrid/>
      <w:color w:val="365F91"/>
      <w:sz w:val="28"/>
      <w:szCs w:val="28"/>
      <w:lang w:eastAsia="en-US"/>
    </w:rPr>
  </w:style>
  <w:style w:type="table" w:customStyle="1" w:styleId="Grillemoyenne21">
    <w:name w:val="Grille moyenne 21"/>
    <w:basedOn w:val="TableauNormal"/>
    <w:uiPriority w:val="68"/>
    <w:rsid w:val="000F3E80"/>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reparation">
    <w:name w:val="preparation"/>
    <w:basedOn w:val="Normal"/>
    <w:rsid w:val="000F3E80"/>
    <w:rPr>
      <w:rFonts w:ascii="Times New Roman" w:eastAsia="Calibri" w:hAnsi="Times New Roman"/>
      <w:sz w:val="20"/>
      <w:lang w:val="fr-BE"/>
    </w:rPr>
  </w:style>
  <w:style w:type="paragraph" w:customStyle="1" w:styleId="DecimalAligned">
    <w:name w:val="Decimal Aligned"/>
    <w:basedOn w:val="Normal"/>
    <w:uiPriority w:val="40"/>
    <w:qFormat/>
    <w:rsid w:val="000F3E80"/>
    <w:pPr>
      <w:tabs>
        <w:tab w:val="decimal" w:pos="360"/>
      </w:tabs>
      <w:spacing w:after="200" w:line="276" w:lineRule="auto"/>
    </w:pPr>
    <w:rPr>
      <w:rFonts w:ascii="Calibri" w:hAnsi="Calibri"/>
      <w:szCs w:val="22"/>
      <w:lang w:eastAsia="en-US"/>
    </w:rPr>
  </w:style>
  <w:style w:type="table" w:customStyle="1" w:styleId="Ombrageclair1">
    <w:name w:val="Ombrage clair1"/>
    <w:basedOn w:val="TableauNormal"/>
    <w:uiPriority w:val="60"/>
    <w:rsid w:val="000F3E8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BCCAC-95C6-41DE-8C1A-AE60918F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6240</CharactersWithSpaces>
  <SharedDoc>false</SharedDoc>
  <HLinks>
    <vt:vector size="318" baseType="variant">
      <vt:variant>
        <vt:i4>983111</vt:i4>
      </vt:variant>
      <vt:variant>
        <vt:i4>231</vt:i4>
      </vt:variant>
      <vt:variant>
        <vt:i4>0</vt:i4>
      </vt:variant>
      <vt:variant>
        <vt:i4>5</vt:i4>
      </vt:variant>
      <vt:variant>
        <vt:lpwstr>http://www.atingo.be/</vt:lpwstr>
      </vt:variant>
      <vt:variant>
        <vt:lpwstr/>
      </vt:variant>
      <vt:variant>
        <vt:i4>3997727</vt:i4>
      </vt:variant>
      <vt:variant>
        <vt:i4>228</vt:i4>
      </vt:variant>
      <vt:variant>
        <vt:i4>0</vt:i4>
      </vt:variant>
      <vt:variant>
        <vt:i4>5</vt:i4>
      </vt:variant>
      <vt:variant>
        <vt:lpwstr>http://europa.eu/pol/socio/index_fr.htm</vt:lpwstr>
      </vt:variant>
      <vt:variant>
        <vt:lpwstr/>
      </vt:variant>
      <vt:variant>
        <vt:i4>3997727</vt:i4>
      </vt:variant>
      <vt:variant>
        <vt:i4>225</vt:i4>
      </vt:variant>
      <vt:variant>
        <vt:i4>0</vt:i4>
      </vt:variant>
      <vt:variant>
        <vt:i4>5</vt:i4>
      </vt:variant>
      <vt:variant>
        <vt:lpwstr>http://europa.eu/pol/socio/index_fr.htm</vt:lpwstr>
      </vt:variant>
      <vt:variant>
        <vt:lpwstr/>
      </vt:variant>
      <vt:variant>
        <vt:i4>8323126</vt:i4>
      </vt:variant>
      <vt:variant>
        <vt:i4>222</vt:i4>
      </vt:variant>
      <vt:variant>
        <vt:i4>0</vt:i4>
      </vt:variant>
      <vt:variant>
        <vt:i4>5</vt:i4>
      </vt:variant>
      <vt:variant>
        <vt:lpwstr>http://energie.wallonie.be/</vt:lpwstr>
      </vt:variant>
      <vt:variant>
        <vt:lpwstr/>
      </vt:variant>
      <vt:variant>
        <vt:i4>393286</vt:i4>
      </vt:variant>
      <vt:variant>
        <vt:i4>219</vt:i4>
      </vt:variant>
      <vt:variant>
        <vt:i4>0</vt:i4>
      </vt:variant>
      <vt:variant>
        <vt:i4>5</vt:i4>
      </vt:variant>
      <vt:variant>
        <vt:lpwstr>http://environnement.wallonie.be/</vt:lpwstr>
      </vt:variant>
      <vt:variant>
        <vt:lpwstr/>
      </vt:variant>
      <vt:variant>
        <vt:i4>393286</vt:i4>
      </vt:variant>
      <vt:variant>
        <vt:i4>216</vt:i4>
      </vt:variant>
      <vt:variant>
        <vt:i4>0</vt:i4>
      </vt:variant>
      <vt:variant>
        <vt:i4>5</vt:i4>
      </vt:variant>
      <vt:variant>
        <vt:lpwstr>http://environnement.wallonie.be/</vt:lpwstr>
      </vt:variant>
      <vt:variant>
        <vt:lpwstr/>
      </vt:variant>
      <vt:variant>
        <vt:i4>5308535</vt:i4>
      </vt:variant>
      <vt:variant>
        <vt:i4>213</vt:i4>
      </vt:variant>
      <vt:variant>
        <vt:i4>0</vt:i4>
      </vt:variant>
      <vt:variant>
        <vt:i4>5</vt:i4>
      </vt:variant>
      <vt:variant>
        <vt:lpwstr>http://europa.eu/pol/env/index_fr.htm</vt:lpwstr>
      </vt:variant>
      <vt:variant>
        <vt:lpwstr/>
      </vt:variant>
      <vt:variant>
        <vt:i4>6684700</vt:i4>
      </vt:variant>
      <vt:variant>
        <vt:i4>207</vt:i4>
      </vt:variant>
      <vt:variant>
        <vt:i4>0</vt:i4>
      </vt:variant>
      <vt:variant>
        <vt:i4>5</vt:i4>
      </vt:variant>
      <vt:variant>
        <vt:lpwstr>\\sv28nt006\pol_eco\DPEur\Echange DPEur\VTE\2007-2013\VDM Bénéficiaires\VADE-MECUM_03 vte.doc</vt:lpwstr>
      </vt:variant>
      <vt:variant>
        <vt:lpwstr/>
      </vt:variant>
      <vt:variant>
        <vt:i4>589870</vt:i4>
      </vt:variant>
      <vt:variant>
        <vt:i4>204</vt:i4>
      </vt:variant>
      <vt:variant>
        <vt:i4>0</vt:i4>
      </vt:variant>
      <vt:variant>
        <vt:i4>5</vt:i4>
      </vt:variant>
      <vt:variant>
        <vt:lpwstr>http://europa.eu/pol/comp/index_fr.htm</vt:lpwstr>
      </vt:variant>
      <vt:variant>
        <vt:lpwstr/>
      </vt:variant>
      <vt:variant>
        <vt:i4>589870</vt:i4>
      </vt:variant>
      <vt:variant>
        <vt:i4>201</vt:i4>
      </vt:variant>
      <vt:variant>
        <vt:i4>0</vt:i4>
      </vt:variant>
      <vt:variant>
        <vt:i4>5</vt:i4>
      </vt:variant>
      <vt:variant>
        <vt:lpwstr>http://europa.eu/pol/comp/index_fr.htm</vt:lpwstr>
      </vt:variant>
      <vt:variant>
        <vt:lpwstr/>
      </vt:variant>
      <vt:variant>
        <vt:i4>3145776</vt:i4>
      </vt:variant>
      <vt:variant>
        <vt:i4>198</vt:i4>
      </vt:variant>
      <vt:variant>
        <vt:i4>0</vt:i4>
      </vt:variant>
      <vt:variant>
        <vt:i4>5</vt:i4>
      </vt:variant>
      <vt:variant>
        <vt:lpwstr>http://marchespublics.wallonie.be/</vt:lpwstr>
      </vt:variant>
      <vt:variant>
        <vt:lpwstr/>
      </vt:variant>
      <vt:variant>
        <vt:i4>1507415</vt:i4>
      </vt:variant>
      <vt:variant>
        <vt:i4>195</vt:i4>
      </vt:variant>
      <vt:variant>
        <vt:i4>0</vt:i4>
      </vt:variant>
      <vt:variant>
        <vt:i4>5</vt:i4>
      </vt:variant>
      <vt:variant>
        <vt:lpwstr>http://simap.ted.europa.eu/web/simap/home</vt:lpwstr>
      </vt:variant>
      <vt:variant>
        <vt:lpwstr/>
      </vt:variant>
      <vt:variant>
        <vt:i4>4194378</vt:i4>
      </vt:variant>
      <vt:variant>
        <vt:i4>192</vt:i4>
      </vt:variant>
      <vt:variant>
        <vt:i4>0</vt:i4>
      </vt:variant>
      <vt:variant>
        <vt:i4>5</vt:i4>
      </vt:variant>
      <vt:variant>
        <vt:lpwstr>http://just.fgov.be/</vt:lpwstr>
      </vt:variant>
      <vt:variant>
        <vt:lpwstr/>
      </vt:variant>
      <vt:variant>
        <vt:i4>458846</vt:i4>
      </vt:variant>
      <vt:variant>
        <vt:i4>189</vt:i4>
      </vt:variant>
      <vt:variant>
        <vt:i4>0</vt:i4>
      </vt:variant>
      <vt:variant>
        <vt:i4>5</vt:i4>
      </vt:variant>
      <vt:variant>
        <vt:lpwstr>http://ccff02.minfin.fgov.be/KMWeb/main.do?home=true</vt:lpwstr>
      </vt:variant>
      <vt:variant>
        <vt:lpwstr/>
      </vt:variant>
      <vt:variant>
        <vt:i4>1114142</vt:i4>
      </vt:variant>
      <vt:variant>
        <vt:i4>186</vt:i4>
      </vt:variant>
      <vt:variant>
        <vt:i4>0</vt:i4>
      </vt:variant>
      <vt:variant>
        <vt:i4>5</vt:i4>
      </vt:variant>
      <vt:variant>
        <vt:lpwstr>https://www.ibr-ire.be/fr/Pages/default.aspx</vt:lpwstr>
      </vt:variant>
      <vt:variant>
        <vt:lpwstr/>
      </vt:variant>
      <vt:variant>
        <vt:i4>983113</vt:i4>
      </vt:variant>
      <vt:variant>
        <vt:i4>183</vt:i4>
      </vt:variant>
      <vt:variant>
        <vt:i4>0</vt:i4>
      </vt:variant>
      <vt:variant>
        <vt:i4>5</vt:i4>
      </vt:variant>
      <vt:variant>
        <vt:lpwstr>https://www.iec-iab.be/fr/institut/pages/default.aspx</vt:lpwstr>
      </vt:variant>
      <vt:variant>
        <vt:lpwstr/>
      </vt:variant>
      <vt:variant>
        <vt:i4>2162718</vt:i4>
      </vt:variant>
      <vt:variant>
        <vt:i4>180</vt:i4>
      </vt:variant>
      <vt:variant>
        <vt:i4>0</vt:i4>
      </vt:variant>
      <vt:variant>
        <vt:i4>5</vt:i4>
      </vt:variant>
      <vt:variant>
        <vt:lpwstr>http://europa.eu/pol/fraud/index_fr.htm</vt:lpwstr>
      </vt:variant>
      <vt:variant>
        <vt:lpwstr/>
      </vt:variant>
      <vt:variant>
        <vt:i4>1245274</vt:i4>
      </vt:variant>
      <vt:variant>
        <vt:i4>177</vt:i4>
      </vt:variant>
      <vt:variant>
        <vt:i4>0</vt:i4>
      </vt:variant>
      <vt:variant>
        <vt:i4>5</vt:i4>
      </vt:variant>
      <vt:variant>
        <vt:lpwstr>http://eca.europa.eu/</vt:lpwstr>
      </vt:variant>
      <vt:variant>
        <vt:lpwstr/>
      </vt:variant>
      <vt:variant>
        <vt:i4>6619240</vt:i4>
      </vt:variant>
      <vt:variant>
        <vt:i4>174</vt:i4>
      </vt:variant>
      <vt:variant>
        <vt:i4>0</vt:i4>
      </vt:variant>
      <vt:variant>
        <vt:i4>5</vt:i4>
      </vt:variant>
      <vt:variant>
        <vt:lpwstr>http://www.fse.be/</vt:lpwstr>
      </vt:variant>
      <vt:variant>
        <vt:lpwstr/>
      </vt:variant>
      <vt:variant>
        <vt:i4>6553651</vt:i4>
      </vt:variant>
      <vt:variant>
        <vt:i4>171</vt:i4>
      </vt:variant>
      <vt:variant>
        <vt:i4>0</vt:i4>
      </vt:variant>
      <vt:variant>
        <vt:i4>5</vt:i4>
      </vt:variant>
      <vt:variant>
        <vt:lpwstr>http://ec.europa.eu/dgs/regional_policy/index_fr.htm</vt:lpwstr>
      </vt:variant>
      <vt:variant>
        <vt:lpwstr/>
      </vt:variant>
      <vt:variant>
        <vt:i4>2687008</vt:i4>
      </vt:variant>
      <vt:variant>
        <vt:i4>168</vt:i4>
      </vt:variant>
      <vt:variant>
        <vt:i4>0</vt:i4>
      </vt:variant>
      <vt:variant>
        <vt:i4>5</vt:i4>
      </vt:variant>
      <vt:variant>
        <vt:lpwstr>http://europe.wallonie.be/</vt:lpwstr>
      </vt:variant>
      <vt:variant>
        <vt:lpwstr/>
      </vt:variant>
      <vt:variant>
        <vt:i4>2687008</vt:i4>
      </vt:variant>
      <vt:variant>
        <vt:i4>165</vt:i4>
      </vt:variant>
      <vt:variant>
        <vt:i4>0</vt:i4>
      </vt:variant>
      <vt:variant>
        <vt:i4>5</vt:i4>
      </vt:variant>
      <vt:variant>
        <vt:lpwstr>http://europe.wallonie.be/</vt:lpwstr>
      </vt:variant>
      <vt:variant>
        <vt:lpwstr/>
      </vt:variant>
      <vt:variant>
        <vt:i4>2687008</vt:i4>
      </vt:variant>
      <vt:variant>
        <vt:i4>147</vt:i4>
      </vt:variant>
      <vt:variant>
        <vt:i4>0</vt:i4>
      </vt:variant>
      <vt:variant>
        <vt:i4>5</vt:i4>
      </vt:variant>
      <vt:variant>
        <vt:lpwstr>http://europe.wallonie.be/</vt:lpwstr>
      </vt:variant>
      <vt:variant>
        <vt:lpwstr/>
      </vt:variant>
      <vt:variant>
        <vt:i4>2687008</vt:i4>
      </vt:variant>
      <vt:variant>
        <vt:i4>144</vt:i4>
      </vt:variant>
      <vt:variant>
        <vt:i4>0</vt:i4>
      </vt:variant>
      <vt:variant>
        <vt:i4>5</vt:i4>
      </vt:variant>
      <vt:variant>
        <vt:lpwstr>http://europe.wallonie.be/</vt:lpwstr>
      </vt:variant>
      <vt:variant>
        <vt:lpwstr/>
      </vt:variant>
      <vt:variant>
        <vt:i4>2687008</vt:i4>
      </vt:variant>
      <vt:variant>
        <vt:i4>141</vt:i4>
      </vt:variant>
      <vt:variant>
        <vt:i4>0</vt:i4>
      </vt:variant>
      <vt:variant>
        <vt:i4>5</vt:i4>
      </vt:variant>
      <vt:variant>
        <vt:lpwstr>http://europe.wallonie.be/</vt:lpwstr>
      </vt:variant>
      <vt:variant>
        <vt:lpwstr/>
      </vt:variant>
      <vt:variant>
        <vt:i4>2687008</vt:i4>
      </vt:variant>
      <vt:variant>
        <vt:i4>138</vt:i4>
      </vt:variant>
      <vt:variant>
        <vt:i4>0</vt:i4>
      </vt:variant>
      <vt:variant>
        <vt:i4>5</vt:i4>
      </vt:variant>
      <vt:variant>
        <vt:lpwstr>http://europe.wallonie.be/</vt:lpwstr>
      </vt:variant>
      <vt:variant>
        <vt:lpwstr/>
      </vt:variant>
      <vt:variant>
        <vt:i4>2687008</vt:i4>
      </vt:variant>
      <vt:variant>
        <vt:i4>135</vt:i4>
      </vt:variant>
      <vt:variant>
        <vt:i4>0</vt:i4>
      </vt:variant>
      <vt:variant>
        <vt:i4>5</vt:i4>
      </vt:variant>
      <vt:variant>
        <vt:lpwstr>http://europe.wallonie.be/</vt:lpwstr>
      </vt:variant>
      <vt:variant>
        <vt:lpwstr/>
      </vt:variant>
      <vt:variant>
        <vt:i4>1179710</vt:i4>
      </vt:variant>
      <vt:variant>
        <vt:i4>128</vt:i4>
      </vt:variant>
      <vt:variant>
        <vt:i4>0</vt:i4>
      </vt:variant>
      <vt:variant>
        <vt:i4>5</vt:i4>
      </vt:variant>
      <vt:variant>
        <vt:lpwstr/>
      </vt:variant>
      <vt:variant>
        <vt:lpwstr>_Toc470182219</vt:lpwstr>
      </vt:variant>
      <vt:variant>
        <vt:i4>1179710</vt:i4>
      </vt:variant>
      <vt:variant>
        <vt:i4>122</vt:i4>
      </vt:variant>
      <vt:variant>
        <vt:i4>0</vt:i4>
      </vt:variant>
      <vt:variant>
        <vt:i4>5</vt:i4>
      </vt:variant>
      <vt:variant>
        <vt:lpwstr/>
      </vt:variant>
      <vt:variant>
        <vt:lpwstr>_Toc470182218</vt:lpwstr>
      </vt:variant>
      <vt:variant>
        <vt:i4>1179710</vt:i4>
      </vt:variant>
      <vt:variant>
        <vt:i4>116</vt:i4>
      </vt:variant>
      <vt:variant>
        <vt:i4>0</vt:i4>
      </vt:variant>
      <vt:variant>
        <vt:i4>5</vt:i4>
      </vt:variant>
      <vt:variant>
        <vt:lpwstr/>
      </vt:variant>
      <vt:variant>
        <vt:lpwstr>_Toc470182217</vt:lpwstr>
      </vt:variant>
      <vt:variant>
        <vt:i4>1179710</vt:i4>
      </vt:variant>
      <vt:variant>
        <vt:i4>110</vt:i4>
      </vt:variant>
      <vt:variant>
        <vt:i4>0</vt:i4>
      </vt:variant>
      <vt:variant>
        <vt:i4>5</vt:i4>
      </vt:variant>
      <vt:variant>
        <vt:lpwstr/>
      </vt:variant>
      <vt:variant>
        <vt:lpwstr>_Toc470182216</vt:lpwstr>
      </vt:variant>
      <vt:variant>
        <vt:i4>1179710</vt:i4>
      </vt:variant>
      <vt:variant>
        <vt:i4>104</vt:i4>
      </vt:variant>
      <vt:variant>
        <vt:i4>0</vt:i4>
      </vt:variant>
      <vt:variant>
        <vt:i4>5</vt:i4>
      </vt:variant>
      <vt:variant>
        <vt:lpwstr/>
      </vt:variant>
      <vt:variant>
        <vt:lpwstr>_Toc470182215</vt:lpwstr>
      </vt:variant>
      <vt:variant>
        <vt:i4>1179710</vt:i4>
      </vt:variant>
      <vt:variant>
        <vt:i4>98</vt:i4>
      </vt:variant>
      <vt:variant>
        <vt:i4>0</vt:i4>
      </vt:variant>
      <vt:variant>
        <vt:i4>5</vt:i4>
      </vt:variant>
      <vt:variant>
        <vt:lpwstr/>
      </vt:variant>
      <vt:variant>
        <vt:lpwstr>_Toc470182214</vt:lpwstr>
      </vt:variant>
      <vt:variant>
        <vt:i4>1179710</vt:i4>
      </vt:variant>
      <vt:variant>
        <vt:i4>92</vt:i4>
      </vt:variant>
      <vt:variant>
        <vt:i4>0</vt:i4>
      </vt:variant>
      <vt:variant>
        <vt:i4>5</vt:i4>
      </vt:variant>
      <vt:variant>
        <vt:lpwstr/>
      </vt:variant>
      <vt:variant>
        <vt:lpwstr>_Toc470182213</vt:lpwstr>
      </vt:variant>
      <vt:variant>
        <vt:i4>1179710</vt:i4>
      </vt:variant>
      <vt:variant>
        <vt:i4>86</vt:i4>
      </vt:variant>
      <vt:variant>
        <vt:i4>0</vt:i4>
      </vt:variant>
      <vt:variant>
        <vt:i4>5</vt:i4>
      </vt:variant>
      <vt:variant>
        <vt:lpwstr/>
      </vt:variant>
      <vt:variant>
        <vt:lpwstr>_Toc470182212</vt:lpwstr>
      </vt:variant>
      <vt:variant>
        <vt:i4>1179710</vt:i4>
      </vt:variant>
      <vt:variant>
        <vt:i4>80</vt:i4>
      </vt:variant>
      <vt:variant>
        <vt:i4>0</vt:i4>
      </vt:variant>
      <vt:variant>
        <vt:i4>5</vt:i4>
      </vt:variant>
      <vt:variant>
        <vt:lpwstr/>
      </vt:variant>
      <vt:variant>
        <vt:lpwstr>_Toc470182211</vt:lpwstr>
      </vt:variant>
      <vt:variant>
        <vt:i4>1179710</vt:i4>
      </vt:variant>
      <vt:variant>
        <vt:i4>74</vt:i4>
      </vt:variant>
      <vt:variant>
        <vt:i4>0</vt:i4>
      </vt:variant>
      <vt:variant>
        <vt:i4>5</vt:i4>
      </vt:variant>
      <vt:variant>
        <vt:lpwstr/>
      </vt:variant>
      <vt:variant>
        <vt:lpwstr>_Toc470182210</vt:lpwstr>
      </vt:variant>
      <vt:variant>
        <vt:i4>1245246</vt:i4>
      </vt:variant>
      <vt:variant>
        <vt:i4>68</vt:i4>
      </vt:variant>
      <vt:variant>
        <vt:i4>0</vt:i4>
      </vt:variant>
      <vt:variant>
        <vt:i4>5</vt:i4>
      </vt:variant>
      <vt:variant>
        <vt:lpwstr/>
      </vt:variant>
      <vt:variant>
        <vt:lpwstr>_Toc470182209</vt:lpwstr>
      </vt:variant>
      <vt:variant>
        <vt:i4>1245246</vt:i4>
      </vt:variant>
      <vt:variant>
        <vt:i4>62</vt:i4>
      </vt:variant>
      <vt:variant>
        <vt:i4>0</vt:i4>
      </vt:variant>
      <vt:variant>
        <vt:i4>5</vt:i4>
      </vt:variant>
      <vt:variant>
        <vt:lpwstr/>
      </vt:variant>
      <vt:variant>
        <vt:lpwstr>_Toc470182208</vt:lpwstr>
      </vt:variant>
      <vt:variant>
        <vt:i4>1245246</vt:i4>
      </vt:variant>
      <vt:variant>
        <vt:i4>56</vt:i4>
      </vt:variant>
      <vt:variant>
        <vt:i4>0</vt:i4>
      </vt:variant>
      <vt:variant>
        <vt:i4>5</vt:i4>
      </vt:variant>
      <vt:variant>
        <vt:lpwstr/>
      </vt:variant>
      <vt:variant>
        <vt:lpwstr>_Toc470182207</vt:lpwstr>
      </vt:variant>
      <vt:variant>
        <vt:i4>1245246</vt:i4>
      </vt:variant>
      <vt:variant>
        <vt:i4>50</vt:i4>
      </vt:variant>
      <vt:variant>
        <vt:i4>0</vt:i4>
      </vt:variant>
      <vt:variant>
        <vt:i4>5</vt:i4>
      </vt:variant>
      <vt:variant>
        <vt:lpwstr/>
      </vt:variant>
      <vt:variant>
        <vt:lpwstr>_Toc470182206</vt:lpwstr>
      </vt:variant>
      <vt:variant>
        <vt:i4>1245246</vt:i4>
      </vt:variant>
      <vt:variant>
        <vt:i4>44</vt:i4>
      </vt:variant>
      <vt:variant>
        <vt:i4>0</vt:i4>
      </vt:variant>
      <vt:variant>
        <vt:i4>5</vt:i4>
      </vt:variant>
      <vt:variant>
        <vt:lpwstr/>
      </vt:variant>
      <vt:variant>
        <vt:lpwstr>_Toc470182205</vt:lpwstr>
      </vt:variant>
      <vt:variant>
        <vt:i4>1245246</vt:i4>
      </vt:variant>
      <vt:variant>
        <vt:i4>38</vt:i4>
      </vt:variant>
      <vt:variant>
        <vt:i4>0</vt:i4>
      </vt:variant>
      <vt:variant>
        <vt:i4>5</vt:i4>
      </vt:variant>
      <vt:variant>
        <vt:lpwstr/>
      </vt:variant>
      <vt:variant>
        <vt:lpwstr>_Toc470182204</vt:lpwstr>
      </vt:variant>
      <vt:variant>
        <vt:i4>1245246</vt:i4>
      </vt:variant>
      <vt:variant>
        <vt:i4>32</vt:i4>
      </vt:variant>
      <vt:variant>
        <vt:i4>0</vt:i4>
      </vt:variant>
      <vt:variant>
        <vt:i4>5</vt:i4>
      </vt:variant>
      <vt:variant>
        <vt:lpwstr/>
      </vt:variant>
      <vt:variant>
        <vt:lpwstr>_Toc470182203</vt:lpwstr>
      </vt:variant>
      <vt:variant>
        <vt:i4>1245246</vt:i4>
      </vt:variant>
      <vt:variant>
        <vt:i4>26</vt:i4>
      </vt:variant>
      <vt:variant>
        <vt:i4>0</vt:i4>
      </vt:variant>
      <vt:variant>
        <vt:i4>5</vt:i4>
      </vt:variant>
      <vt:variant>
        <vt:lpwstr/>
      </vt:variant>
      <vt:variant>
        <vt:lpwstr>_Toc470182202</vt:lpwstr>
      </vt:variant>
      <vt:variant>
        <vt:i4>1245246</vt:i4>
      </vt:variant>
      <vt:variant>
        <vt:i4>20</vt:i4>
      </vt:variant>
      <vt:variant>
        <vt:i4>0</vt:i4>
      </vt:variant>
      <vt:variant>
        <vt:i4>5</vt:i4>
      </vt:variant>
      <vt:variant>
        <vt:lpwstr/>
      </vt:variant>
      <vt:variant>
        <vt:lpwstr>_Toc470182201</vt:lpwstr>
      </vt:variant>
      <vt:variant>
        <vt:i4>1245246</vt:i4>
      </vt:variant>
      <vt:variant>
        <vt:i4>14</vt:i4>
      </vt:variant>
      <vt:variant>
        <vt:i4>0</vt:i4>
      </vt:variant>
      <vt:variant>
        <vt:i4>5</vt:i4>
      </vt:variant>
      <vt:variant>
        <vt:lpwstr/>
      </vt:variant>
      <vt:variant>
        <vt:lpwstr>_Toc470182200</vt:lpwstr>
      </vt:variant>
      <vt:variant>
        <vt:i4>1703997</vt:i4>
      </vt:variant>
      <vt:variant>
        <vt:i4>8</vt:i4>
      </vt:variant>
      <vt:variant>
        <vt:i4>0</vt:i4>
      </vt:variant>
      <vt:variant>
        <vt:i4>5</vt:i4>
      </vt:variant>
      <vt:variant>
        <vt:lpwstr/>
      </vt:variant>
      <vt:variant>
        <vt:lpwstr>_Toc470182199</vt:lpwstr>
      </vt:variant>
      <vt:variant>
        <vt:i4>1703997</vt:i4>
      </vt:variant>
      <vt:variant>
        <vt:i4>2</vt:i4>
      </vt:variant>
      <vt:variant>
        <vt:i4>0</vt:i4>
      </vt:variant>
      <vt:variant>
        <vt:i4>5</vt:i4>
      </vt:variant>
      <vt:variant>
        <vt:lpwstr/>
      </vt:variant>
      <vt:variant>
        <vt:lpwstr>_Toc470182198</vt:lpwstr>
      </vt:variant>
      <vt:variant>
        <vt:i4>6225961</vt:i4>
      </vt:variant>
      <vt:variant>
        <vt:i4>0</vt:i4>
      </vt:variant>
      <vt:variant>
        <vt:i4>0</vt:i4>
      </vt:variant>
      <vt:variant>
        <vt:i4>5</vt:i4>
      </vt:variant>
      <vt:variant>
        <vt:lpwstr>http://economie.fgov.be/fr/binaries/nacebel 2008 FR-NL-DE_tcm326-246794.xls</vt:lpwstr>
      </vt:variant>
      <vt:variant>
        <vt:lpwstr/>
      </vt:variant>
      <vt:variant>
        <vt:i4>589870</vt:i4>
      </vt:variant>
      <vt:variant>
        <vt:i4>91627</vt:i4>
      </vt:variant>
      <vt:variant>
        <vt:i4>1030</vt:i4>
      </vt:variant>
      <vt:variant>
        <vt:i4>4</vt:i4>
      </vt:variant>
      <vt:variant>
        <vt:lpwstr>http://europa.eu/pol/comp/index_fr.htm</vt:lpwstr>
      </vt:variant>
      <vt:variant>
        <vt:lpwstr/>
      </vt:variant>
      <vt:variant>
        <vt:i4>393286</vt:i4>
      </vt:variant>
      <vt:variant>
        <vt:i4>92247</vt:i4>
      </vt:variant>
      <vt:variant>
        <vt:i4>1029</vt:i4>
      </vt:variant>
      <vt:variant>
        <vt:i4>4</vt:i4>
      </vt:variant>
      <vt:variant>
        <vt:lpwstr>http://environnement.wallonie.be/</vt:lpwstr>
      </vt:variant>
      <vt:variant>
        <vt:lpwstr/>
      </vt:variant>
      <vt:variant>
        <vt:i4>3997727</vt:i4>
      </vt:variant>
      <vt:variant>
        <vt:i4>92837</vt:i4>
      </vt:variant>
      <vt:variant>
        <vt:i4>1027</vt:i4>
      </vt:variant>
      <vt:variant>
        <vt:i4>4</vt:i4>
      </vt:variant>
      <vt:variant>
        <vt:lpwstr>http://europa.eu/pol/socio/index_fr.htm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LDR</dc:creator>
  <cp:lastModifiedBy>ICN</cp:lastModifiedBy>
  <cp:revision>2</cp:revision>
  <dcterms:created xsi:type="dcterms:W3CDTF">2018-02-22T12:48:00Z</dcterms:created>
  <dcterms:modified xsi:type="dcterms:W3CDTF">2018-02-22T12:48:00Z</dcterms:modified>
</cp:coreProperties>
</file>