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C5EC" w14:textId="77777777" w:rsidR="00BF3D21" w:rsidRDefault="00BF3D21" w:rsidP="00A85E3D">
      <w:pPr>
        <w:rPr>
          <w:b/>
          <w:bCs/>
          <w:u w:val="single"/>
          <w:lang w:val="fr-BE"/>
        </w:rPr>
      </w:pPr>
    </w:p>
    <w:p w14:paraId="532F95D2" w14:textId="1766B0AA" w:rsidR="00BF3D21" w:rsidRPr="00611354" w:rsidRDefault="00CC4078" w:rsidP="00611354">
      <w:pPr>
        <w:jc w:val="center"/>
        <w:rPr>
          <w:b/>
          <w:bCs/>
          <w:lang w:val="fr-BE"/>
        </w:rPr>
      </w:pPr>
      <w:r w:rsidRPr="00611354">
        <w:rPr>
          <w:b/>
          <w:bCs/>
          <w:noProof/>
          <w:lang w:val="fr-BE"/>
        </w:rPr>
        <w:drawing>
          <wp:inline distT="0" distB="0" distL="0" distR="0" wp14:anchorId="564E4964" wp14:editId="4EB966D5">
            <wp:extent cx="3091274" cy="1047598"/>
            <wp:effectExtent l="0" t="0" r="0" b="635"/>
            <wp:docPr id="1925397056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97056" name="Image 2" descr="Une image contenant texte, Police, Graphique, logo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801" cy="106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354">
        <w:rPr>
          <w:b/>
          <w:bCs/>
          <w:lang w:val="fr-BE"/>
        </w:rPr>
        <w:t xml:space="preserve">                         </w:t>
      </w:r>
      <w:r w:rsidRPr="00611354">
        <w:rPr>
          <w:b/>
          <w:bCs/>
          <w:noProof/>
          <w:lang w:val="fr-BE"/>
        </w:rPr>
        <w:drawing>
          <wp:inline distT="0" distB="0" distL="0" distR="0" wp14:anchorId="63BDE315" wp14:editId="25058350">
            <wp:extent cx="1675831" cy="1119953"/>
            <wp:effectExtent l="0" t="0" r="635" b="4445"/>
            <wp:docPr id="1628426092" name="Image 3" descr="Une image contenant drapeau, étoile, symbol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26092" name="Image 3" descr="Une image contenant drapeau, étoile, symbole, Bleu électri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69" cy="113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610C" w14:textId="77777777" w:rsidR="00CC4078" w:rsidRDefault="00CC4078" w:rsidP="00072EF6">
      <w:pPr>
        <w:jc w:val="center"/>
        <w:rPr>
          <w:b/>
          <w:bCs/>
          <w:u w:val="single"/>
          <w:lang w:val="fr-BE"/>
        </w:rPr>
      </w:pPr>
    </w:p>
    <w:p w14:paraId="304C0FF0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7F5849AD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6001B531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24149D13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6F67A779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2C326E9C" w14:textId="77777777" w:rsidR="00611354" w:rsidRDefault="00611354" w:rsidP="00611354">
      <w:pPr>
        <w:rPr>
          <w:b/>
          <w:bCs/>
          <w:u w:val="single"/>
          <w:lang w:val="fr-BE"/>
        </w:rPr>
      </w:pPr>
    </w:p>
    <w:p w14:paraId="5E733F47" w14:textId="7690CDC1" w:rsidR="00B568B7" w:rsidRDefault="00845014" w:rsidP="00611354">
      <w:pPr>
        <w:pStyle w:val="Titre"/>
        <w:rPr>
          <w:lang w:val="fr-BE"/>
        </w:rPr>
      </w:pPr>
      <w:r w:rsidRPr="00845014">
        <w:rPr>
          <w:lang w:val="fr-BE"/>
        </w:rPr>
        <w:t>GUIDANCE POUR LA COLLECTE DES DONNÉES LIÉES AUX CONTRATS INDIRECTS</w:t>
      </w:r>
    </w:p>
    <w:p w14:paraId="3ACA98D5" w14:textId="77777777" w:rsidR="00BF3D21" w:rsidRDefault="00BF3D21" w:rsidP="00072EF6">
      <w:pPr>
        <w:jc w:val="center"/>
        <w:rPr>
          <w:b/>
          <w:bCs/>
          <w:u w:val="single"/>
          <w:lang w:val="fr-BE"/>
        </w:rPr>
      </w:pPr>
    </w:p>
    <w:p w14:paraId="3F4E0824" w14:textId="77777777" w:rsidR="00BF3D21" w:rsidRDefault="00BF3D21" w:rsidP="00072EF6">
      <w:pPr>
        <w:jc w:val="center"/>
        <w:rPr>
          <w:b/>
          <w:bCs/>
          <w:u w:val="single"/>
          <w:lang w:val="fr-BE"/>
        </w:rPr>
      </w:pPr>
    </w:p>
    <w:p w14:paraId="6F0B4D36" w14:textId="77777777" w:rsidR="00BF3D21" w:rsidRDefault="00BF3D21" w:rsidP="00072EF6">
      <w:pPr>
        <w:jc w:val="center"/>
        <w:rPr>
          <w:b/>
          <w:bCs/>
          <w:u w:val="single"/>
          <w:lang w:val="fr-BE"/>
        </w:rPr>
      </w:pPr>
    </w:p>
    <w:p w14:paraId="0CF565AE" w14:textId="77777777" w:rsidR="00BF3D21" w:rsidRDefault="00BF3D21" w:rsidP="00072EF6">
      <w:pPr>
        <w:jc w:val="center"/>
        <w:rPr>
          <w:b/>
          <w:bCs/>
          <w:u w:val="single"/>
          <w:lang w:val="fr-BE"/>
        </w:rPr>
      </w:pPr>
    </w:p>
    <w:p w14:paraId="55970C6A" w14:textId="77777777" w:rsidR="00A85E3D" w:rsidRDefault="00A85E3D" w:rsidP="00072EF6">
      <w:pPr>
        <w:jc w:val="center"/>
        <w:rPr>
          <w:b/>
          <w:bCs/>
          <w:u w:val="single"/>
          <w:lang w:val="fr-BE"/>
        </w:rPr>
      </w:pPr>
    </w:p>
    <w:p w14:paraId="4693DAEF" w14:textId="77777777" w:rsidR="00A85E3D" w:rsidRDefault="00A85E3D" w:rsidP="00072EF6">
      <w:pPr>
        <w:jc w:val="center"/>
        <w:rPr>
          <w:b/>
          <w:bCs/>
          <w:u w:val="single"/>
          <w:lang w:val="fr-BE"/>
        </w:rPr>
      </w:pPr>
    </w:p>
    <w:p w14:paraId="1C61DE15" w14:textId="71919A73" w:rsidR="00707402" w:rsidRDefault="00707402">
      <w:pPr>
        <w:rPr>
          <w:b/>
          <w:bCs/>
          <w:u w:val="single"/>
          <w:lang w:val="fr-BE"/>
        </w:rPr>
        <w:sectPr w:rsidR="00707402" w:rsidSect="00234D8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0F3E81" w14:textId="77777777" w:rsidR="00A85E3D" w:rsidRDefault="00A85E3D" w:rsidP="00A85E3D">
      <w:pPr>
        <w:jc w:val="both"/>
        <w:rPr>
          <w:b/>
          <w:bCs/>
          <w:u w:val="single"/>
          <w:lang w:val="fr-BE"/>
        </w:rPr>
      </w:pPr>
    </w:p>
    <w:p w14:paraId="291CA07C" w14:textId="3E830333" w:rsidR="00784EEA" w:rsidRDefault="00784EEA" w:rsidP="00784EEA">
      <w:pPr>
        <w:pStyle w:val="Titre2"/>
        <w:rPr>
          <w:lang w:val="fr-BE"/>
        </w:rPr>
      </w:pPr>
      <w:r>
        <w:rPr>
          <w:lang w:val="fr-BE"/>
        </w:rPr>
        <w:t>Contexte</w:t>
      </w:r>
    </w:p>
    <w:p w14:paraId="200B00B3" w14:textId="0F5D1CF8" w:rsidR="00596757" w:rsidRDefault="00596757" w:rsidP="00596757">
      <w:pPr>
        <w:jc w:val="both"/>
        <w:rPr>
          <w:lang w:val="fr-BE"/>
        </w:rPr>
      </w:pPr>
      <w:r w:rsidRPr="2579B115">
        <w:rPr>
          <w:lang w:val="fr-BE"/>
        </w:rPr>
        <w:t>Les</w:t>
      </w:r>
      <w:r>
        <w:rPr>
          <w:lang w:val="fr-BE"/>
        </w:rPr>
        <w:t xml:space="preserve"> règlements européens régissant la programmation FEDER/FTJ 2021-2027</w:t>
      </w:r>
      <w:r w:rsidR="006A0BAF">
        <w:rPr>
          <w:rStyle w:val="Appelnotedebasdep"/>
          <w:lang w:val="fr-BE"/>
        </w:rPr>
        <w:footnoteReference w:id="2"/>
      </w:r>
      <w:r>
        <w:rPr>
          <w:lang w:val="fr-BE"/>
        </w:rPr>
        <w:t xml:space="preserve"> ainsi que le P</w:t>
      </w:r>
      <w:r w:rsidR="00EA19FB">
        <w:rPr>
          <w:lang w:val="fr-BE"/>
        </w:rPr>
        <w:t>lan pour la Reprise et la Résilience (P</w:t>
      </w:r>
      <w:r>
        <w:rPr>
          <w:lang w:val="fr-BE"/>
        </w:rPr>
        <w:t>NRR</w:t>
      </w:r>
      <w:r w:rsidR="00EA19FB">
        <w:rPr>
          <w:lang w:val="fr-BE"/>
        </w:rPr>
        <w:t>)</w:t>
      </w:r>
      <w:r w:rsidR="00BB6CA1">
        <w:rPr>
          <w:rStyle w:val="Appelnotedebasdep"/>
          <w:lang w:val="fr-BE"/>
        </w:rPr>
        <w:footnoteReference w:id="3"/>
      </w:r>
      <w:r>
        <w:rPr>
          <w:lang w:val="fr-BE"/>
        </w:rPr>
        <w:t xml:space="preserve"> prévoient l’obligation pour l’autorité de gestion des programmes de collecter un certain nombre de données</w:t>
      </w:r>
      <w:r w:rsidRPr="00352E18">
        <w:rPr>
          <w:lang w:val="fr-BE"/>
        </w:rPr>
        <w:t xml:space="preserve"> </w:t>
      </w:r>
      <w:r>
        <w:rPr>
          <w:lang w:val="fr-BE"/>
        </w:rPr>
        <w:t xml:space="preserve">relatives aux marchés publics passés dans le cadre des projets subventionnés, notamment : </w:t>
      </w:r>
      <w:r w:rsidR="6DE59865">
        <w:rPr>
          <w:lang w:val="fr-BE"/>
        </w:rPr>
        <w:t>l’</w:t>
      </w:r>
      <w:r>
        <w:rPr>
          <w:lang w:val="fr-BE"/>
        </w:rPr>
        <w:t xml:space="preserve">identification des </w:t>
      </w:r>
      <w:r w:rsidRPr="00352E18">
        <w:rPr>
          <w:lang w:val="fr-BE"/>
        </w:rPr>
        <w:t xml:space="preserve">contractants, </w:t>
      </w:r>
      <w:r>
        <w:rPr>
          <w:lang w:val="fr-BE"/>
        </w:rPr>
        <w:t>des</w:t>
      </w:r>
      <w:r w:rsidRPr="00352E18">
        <w:rPr>
          <w:lang w:val="fr-BE"/>
        </w:rPr>
        <w:t xml:space="preserve"> bénéficiaires effectifs</w:t>
      </w:r>
      <w:r>
        <w:rPr>
          <w:lang w:val="fr-BE"/>
        </w:rPr>
        <w:t xml:space="preserve"> des contractants</w:t>
      </w:r>
      <w:r w:rsidRPr="00352E18">
        <w:rPr>
          <w:lang w:val="fr-BE"/>
        </w:rPr>
        <w:t xml:space="preserve"> </w:t>
      </w:r>
      <w:r>
        <w:rPr>
          <w:lang w:val="fr-BE"/>
        </w:rPr>
        <w:t xml:space="preserve">(UBO) </w:t>
      </w:r>
      <w:r w:rsidRPr="00352E18">
        <w:rPr>
          <w:lang w:val="fr-BE"/>
        </w:rPr>
        <w:t xml:space="preserve">et </w:t>
      </w:r>
      <w:r>
        <w:rPr>
          <w:lang w:val="fr-BE"/>
        </w:rPr>
        <w:t xml:space="preserve">les données sur les </w:t>
      </w:r>
      <w:r w:rsidRPr="00352E18">
        <w:rPr>
          <w:lang w:val="fr-BE"/>
        </w:rPr>
        <w:t>contrats</w:t>
      </w:r>
      <w:r>
        <w:rPr>
          <w:lang w:val="fr-BE"/>
        </w:rPr>
        <w:t xml:space="preserve"> conclus. </w:t>
      </w:r>
    </w:p>
    <w:p w14:paraId="6126878D" w14:textId="77777777" w:rsidR="00596757" w:rsidRDefault="00596757" w:rsidP="00596757">
      <w:pPr>
        <w:jc w:val="both"/>
        <w:rPr>
          <w:lang w:val="fr-BE"/>
        </w:rPr>
      </w:pPr>
      <w:r w:rsidRPr="00BB6E3E">
        <w:rPr>
          <w:bCs/>
          <w:u w:val="single"/>
          <w:lang w:val="fr-BE"/>
        </w:rPr>
        <w:t>Lorsque les dépenses sont justifiées sur base de coûts réels</w:t>
      </w:r>
      <w:r w:rsidRPr="00BB6E3E">
        <w:rPr>
          <w:bCs/>
          <w:lang w:val="fr-BE"/>
        </w:rPr>
        <w:t xml:space="preserve">, </w:t>
      </w:r>
      <w:r w:rsidRPr="004E281F">
        <w:rPr>
          <w:lang w:val="fr-BE"/>
        </w:rPr>
        <w:t>cette collecte est systématiquement effectuée dans le cadre de</w:t>
      </w:r>
      <w:r>
        <w:rPr>
          <w:lang w:val="fr-BE"/>
        </w:rPr>
        <w:t xml:space="preserve"> l’introduction de vos marchés publics dans Calista en vue de leur soumission au contrôle de votre administration</w:t>
      </w:r>
      <w:r w:rsidRPr="004E281F">
        <w:rPr>
          <w:lang w:val="fr-BE"/>
        </w:rPr>
        <w:t>.</w:t>
      </w:r>
    </w:p>
    <w:p w14:paraId="20D10535" w14:textId="31BC78C9" w:rsidR="00EA19FB" w:rsidRDefault="00EA19FB" w:rsidP="00EA19FB">
      <w:pPr>
        <w:jc w:val="both"/>
        <w:rPr>
          <w:lang w:val="fr-BE"/>
        </w:rPr>
      </w:pPr>
      <w:r w:rsidRPr="00A01213">
        <w:rPr>
          <w:lang w:val="fr-BE"/>
        </w:rPr>
        <w:t>En ce qui concerne les marchés publics sous-tendant les dépenses justifiées via des coûts simplifiés, l’application</w:t>
      </w:r>
      <w:r w:rsidRPr="0523686E">
        <w:rPr>
          <w:lang w:val="fr-BE"/>
        </w:rPr>
        <w:t xml:space="preserve"> de cette obligation </w:t>
      </w:r>
      <w:r>
        <w:rPr>
          <w:lang w:val="fr-BE"/>
        </w:rPr>
        <w:t>de collecte de données</w:t>
      </w:r>
      <w:r w:rsidRPr="0523686E">
        <w:rPr>
          <w:lang w:val="fr-BE"/>
        </w:rPr>
        <w:t xml:space="preserve"> a fait l’objet de nombreuses discussions et négociations entre la Wallonie et la Commission européenne</w:t>
      </w:r>
      <w:r>
        <w:rPr>
          <w:lang w:val="fr-BE"/>
        </w:rPr>
        <w:t>,</w:t>
      </w:r>
      <w:r w:rsidRPr="0523686E">
        <w:rPr>
          <w:lang w:val="fr-BE"/>
        </w:rPr>
        <w:t xml:space="preserve"> notamment dans le cadre d’audits européens. </w:t>
      </w:r>
    </w:p>
    <w:p w14:paraId="0DC18372" w14:textId="77777777" w:rsidR="00EA19FB" w:rsidRPr="00D37E57" w:rsidRDefault="00EA19FB" w:rsidP="00EA19FB">
      <w:pPr>
        <w:jc w:val="both"/>
        <w:rPr>
          <w:lang w:val="fr-BE"/>
        </w:rPr>
      </w:pPr>
      <w:r>
        <w:rPr>
          <w:lang w:val="fr-BE"/>
        </w:rPr>
        <w:t xml:space="preserve">Il en résulte des modalités de collecte différentes selon que l’on se situe dans le cadre du FEDER/FTJ ou du PNRR (les règlements et interlocuteurs au niveau de la Commission européenne sont en effet différents selon les programmes). </w:t>
      </w:r>
    </w:p>
    <w:p w14:paraId="53DC60F0" w14:textId="0458FB72" w:rsidR="00EA19FB" w:rsidRDefault="00EA19FB" w:rsidP="00EA19FB">
      <w:pPr>
        <w:jc w:val="both"/>
        <w:rPr>
          <w:lang w:val="fr-BE"/>
        </w:rPr>
      </w:pPr>
      <w:r w:rsidRPr="00BB6E3E">
        <w:rPr>
          <w:u w:val="single"/>
          <w:lang w:val="fr-BE"/>
        </w:rPr>
        <w:t>Dans le cadre du programme FEDER/FTJ 2021-2027</w:t>
      </w:r>
      <w:r>
        <w:rPr>
          <w:lang w:val="fr-BE"/>
        </w:rPr>
        <w:t>, cette obligation s’applique</w:t>
      </w:r>
      <w:r w:rsidR="00F422F8">
        <w:rPr>
          <w:lang w:val="fr-BE"/>
        </w:rPr>
        <w:t xml:space="preserve"> uniquement</w:t>
      </w:r>
      <w:r>
        <w:rPr>
          <w:lang w:val="fr-BE"/>
        </w:rPr>
        <w:t xml:space="preserve"> : </w:t>
      </w:r>
    </w:p>
    <w:p w14:paraId="487FBDB0" w14:textId="41E9F709" w:rsidR="00EA19FB" w:rsidRDefault="00EA19FB" w:rsidP="00EA19FB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proofErr w:type="gramStart"/>
      <w:r>
        <w:rPr>
          <w:lang w:val="fr-BE"/>
        </w:rPr>
        <w:t>aux</w:t>
      </w:r>
      <w:proofErr w:type="gramEnd"/>
      <w:r>
        <w:rPr>
          <w:lang w:val="fr-BE"/>
        </w:rPr>
        <w:t xml:space="preserve"> marchés publics dont les montants dépassent les seuils européens applicables ;</w:t>
      </w:r>
    </w:p>
    <w:p w14:paraId="679CF55B" w14:textId="5389B3DB" w:rsidR="00EA19FB" w:rsidRDefault="00EA19FB" w:rsidP="00EA19FB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proofErr w:type="gramStart"/>
      <w:r w:rsidRPr="161127CF">
        <w:rPr>
          <w:lang w:val="fr-BE"/>
        </w:rPr>
        <w:t>aux</w:t>
      </w:r>
      <w:proofErr w:type="gramEnd"/>
      <w:r w:rsidRPr="161127CF">
        <w:rPr>
          <w:lang w:val="fr-BE"/>
        </w:rPr>
        <w:t xml:space="preserve"> marchés publics relatifs à des coûts directs, c’est-à-dire </w:t>
      </w:r>
      <w:r w:rsidRPr="02897DA3">
        <w:rPr>
          <w:lang w:val="fr-BE"/>
        </w:rPr>
        <w:t>les</w:t>
      </w:r>
      <w:r w:rsidRPr="4F934428">
        <w:rPr>
          <w:lang w:val="fr-BE"/>
        </w:rPr>
        <w:t xml:space="preserve"> </w:t>
      </w:r>
      <w:r>
        <w:rPr>
          <w:lang w:val="fr-BE"/>
        </w:rPr>
        <w:t>coûts clairement et exclusivement liés</w:t>
      </w:r>
      <w:r w:rsidRPr="4F934428" w:rsidDel="000D7E58">
        <w:rPr>
          <w:lang w:val="fr-BE"/>
        </w:rPr>
        <w:t xml:space="preserve"> à </w:t>
      </w:r>
      <w:r>
        <w:rPr>
          <w:lang w:val="fr-BE"/>
        </w:rPr>
        <w:t>la mise en œuvre</w:t>
      </w:r>
      <w:r w:rsidRPr="4F934428" w:rsidDel="000D7E58">
        <w:rPr>
          <w:lang w:val="fr-BE"/>
        </w:rPr>
        <w:t xml:space="preserve"> du projet</w:t>
      </w:r>
      <w:r w:rsidDel="000D7E58">
        <w:rPr>
          <w:lang w:val="fr-BE"/>
        </w:rPr>
        <w:t>.</w:t>
      </w:r>
      <w:r>
        <w:rPr>
          <w:lang w:val="fr-BE"/>
        </w:rPr>
        <w:t xml:space="preserve"> </w:t>
      </w:r>
    </w:p>
    <w:p w14:paraId="0B7D9DE5" w14:textId="0CE99639" w:rsidR="00EA19FB" w:rsidRDefault="00EA19FB" w:rsidP="00EA19FB">
      <w:pPr>
        <w:jc w:val="both"/>
        <w:rPr>
          <w:lang w:val="fr-BE"/>
        </w:rPr>
      </w:pPr>
      <w:r w:rsidRPr="00BB6E3E">
        <w:rPr>
          <w:u w:val="single"/>
          <w:lang w:val="fr-BE"/>
        </w:rPr>
        <w:t>Dans le cadre du PNRR</w:t>
      </w:r>
      <w:r>
        <w:rPr>
          <w:u w:val="single"/>
          <w:lang w:val="fr-BE"/>
        </w:rPr>
        <w:t>,</w:t>
      </w:r>
      <w:r>
        <w:rPr>
          <w:lang w:val="fr-BE"/>
        </w:rPr>
        <w:t xml:space="preserve"> les données de tous les marchés publics sous-tendant les dépenses financées sur base de coûts simplifiés doivent être collectées. </w:t>
      </w:r>
    </w:p>
    <w:p w14:paraId="6DA7AF66" w14:textId="77777777" w:rsidR="002F5062" w:rsidRDefault="002F5062" w:rsidP="002F5062">
      <w:pPr>
        <w:jc w:val="both"/>
        <w:rPr>
          <w:lang w:val="fr-BE"/>
        </w:rPr>
      </w:pPr>
      <w:r>
        <w:rPr>
          <w:lang w:val="fr-BE"/>
        </w:rPr>
        <w:t xml:space="preserve">Dans les deux cas, un module simplifié que vous pouvez retrouver via le menu « Gestion-Contrats indirects » a été mis à votre disposition dans Calista </w:t>
      </w:r>
      <w:r w:rsidRPr="004D248B">
        <w:rPr>
          <w:lang w:val="fr-BE"/>
        </w:rPr>
        <w:t>en vue de rendre cet encodage le plus aisé possible</w:t>
      </w:r>
      <w:r>
        <w:rPr>
          <w:lang w:val="fr-BE"/>
        </w:rPr>
        <w:t xml:space="preserve">. Il permet : </w:t>
      </w:r>
    </w:p>
    <w:p w14:paraId="5500BFA2" w14:textId="77777777" w:rsidR="002F5062" w:rsidRPr="000417D4" w:rsidRDefault="002F5062" w:rsidP="002F5062">
      <w:pPr>
        <w:numPr>
          <w:ilvl w:val="0"/>
          <w:numId w:val="8"/>
        </w:numPr>
        <w:rPr>
          <w:lang w:val="fr-BE"/>
        </w:rPr>
      </w:pPr>
      <w:r w:rsidRPr="000417D4">
        <w:rPr>
          <w:lang w:val="fr-BE"/>
        </w:rPr>
        <w:t>Un encodage </w:t>
      </w:r>
      <w:r w:rsidRPr="004668E6">
        <w:rPr>
          <w:u w:val="single"/>
          <w:lang w:val="fr-BE"/>
        </w:rPr>
        <w:t>limité aux champs exigés par le règlement</w:t>
      </w:r>
    </w:p>
    <w:p w14:paraId="18C49321" w14:textId="77777777" w:rsidR="002F5062" w:rsidRPr="00D51F40" w:rsidRDefault="002F5062" w:rsidP="002F5062">
      <w:pPr>
        <w:numPr>
          <w:ilvl w:val="0"/>
          <w:numId w:val="8"/>
        </w:numPr>
        <w:rPr>
          <w:lang w:val="fr-BE"/>
        </w:rPr>
      </w:pPr>
      <w:r w:rsidRPr="00D51F40">
        <w:rPr>
          <w:lang w:val="fr-BE"/>
        </w:rPr>
        <w:t>Un </w:t>
      </w:r>
      <w:r w:rsidRPr="00D51F40">
        <w:rPr>
          <w:bCs/>
          <w:u w:val="single"/>
          <w:lang w:val="fr-BE"/>
        </w:rPr>
        <w:t>encodage unique</w:t>
      </w:r>
      <w:r w:rsidRPr="00D51F40">
        <w:rPr>
          <w:lang w:val="fr-BE"/>
        </w:rPr>
        <w:t> au niveau du bénéficiaire de fonds</w:t>
      </w:r>
    </w:p>
    <w:p w14:paraId="484D1455" w14:textId="77777777" w:rsidR="002F5062" w:rsidRPr="000417D4" w:rsidRDefault="002F5062" w:rsidP="002F5062">
      <w:pPr>
        <w:numPr>
          <w:ilvl w:val="0"/>
          <w:numId w:val="8"/>
        </w:numPr>
        <w:rPr>
          <w:lang w:val="fr-BE"/>
        </w:rPr>
      </w:pPr>
      <w:r w:rsidRPr="004668E6">
        <w:rPr>
          <w:u w:val="single"/>
          <w:lang w:val="fr-BE"/>
        </w:rPr>
        <w:t>L’import des données en bloc</w:t>
      </w:r>
      <w:r w:rsidRPr="000417D4">
        <w:rPr>
          <w:lang w:val="fr-BE"/>
        </w:rPr>
        <w:t xml:space="preserve"> via </w:t>
      </w:r>
      <w:r>
        <w:rPr>
          <w:lang w:val="fr-BE"/>
        </w:rPr>
        <w:t xml:space="preserve">un </w:t>
      </w:r>
      <w:r w:rsidRPr="000417D4">
        <w:rPr>
          <w:lang w:val="fr-BE"/>
        </w:rPr>
        <w:t>fichier Excel</w:t>
      </w:r>
    </w:p>
    <w:p w14:paraId="5F6D483E" w14:textId="7352F48C" w:rsidR="006A0BAF" w:rsidRDefault="002F5062" w:rsidP="006A0BAF">
      <w:pPr>
        <w:numPr>
          <w:ilvl w:val="0"/>
          <w:numId w:val="8"/>
        </w:numPr>
        <w:rPr>
          <w:lang w:val="fr-BE"/>
        </w:rPr>
      </w:pPr>
      <w:r w:rsidRPr="000417D4">
        <w:rPr>
          <w:lang w:val="fr-BE"/>
        </w:rPr>
        <w:t>Une </w:t>
      </w:r>
      <w:r w:rsidRPr="007753AA">
        <w:rPr>
          <w:u w:val="single"/>
          <w:lang w:val="fr-BE"/>
        </w:rPr>
        <w:t>connexion</w:t>
      </w:r>
      <w:r w:rsidRPr="007753AA" w:rsidDel="0078161E">
        <w:rPr>
          <w:u w:val="single"/>
          <w:lang w:val="fr-BE"/>
        </w:rPr>
        <w:t xml:space="preserve"> </w:t>
      </w:r>
      <w:r>
        <w:rPr>
          <w:u w:val="single"/>
          <w:lang w:val="fr-BE"/>
        </w:rPr>
        <w:t>directe</w:t>
      </w:r>
      <w:r w:rsidRPr="000417D4">
        <w:rPr>
          <w:lang w:val="fr-BE"/>
        </w:rPr>
        <w:t> au registre du SPF Finances (via numéro BCE)</w:t>
      </w:r>
      <w:r>
        <w:rPr>
          <w:lang w:val="fr-BE"/>
        </w:rPr>
        <w:t>, permettant la récupération automatique des bénéficiaires effectifs de vos contractants belges.</w:t>
      </w:r>
    </w:p>
    <w:p w14:paraId="31AE34E4" w14:textId="1DF6D45D" w:rsidR="00BE37BA" w:rsidRDefault="00BE37BA" w:rsidP="00BA2941">
      <w:pPr>
        <w:rPr>
          <w:lang w:val="fr-BE"/>
        </w:rPr>
      </w:pPr>
      <w:r>
        <w:rPr>
          <w:noProof/>
          <w:lang w:val="fr-B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42B68" wp14:editId="4737AA5E">
                <wp:simplePos x="0" y="0"/>
                <wp:positionH relativeFrom="column">
                  <wp:posOffset>776605</wp:posOffset>
                </wp:positionH>
                <wp:positionV relativeFrom="paragraph">
                  <wp:posOffset>-196850</wp:posOffset>
                </wp:positionV>
                <wp:extent cx="5283200" cy="1041400"/>
                <wp:effectExtent l="0" t="0" r="12700" b="25400"/>
                <wp:wrapNone/>
                <wp:docPr id="16017761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2E271F" w14:textId="3C38B808" w:rsidR="0015702D" w:rsidRDefault="00BE37BA" w:rsidP="008A62B7">
                            <w:pPr>
                              <w:jc w:val="both"/>
                              <w:rPr>
                                <w:lang w:val="fr-BE"/>
                              </w:rPr>
                            </w:pPr>
                            <w:r w:rsidRPr="00BE37BA">
                              <w:rPr>
                                <w:lang w:val="fr-BE"/>
                              </w:rPr>
                              <w:t xml:space="preserve">Pour rappel, comme cela vous a déjà été précisé </w:t>
                            </w:r>
                            <w:r w:rsidR="0039717D">
                              <w:rPr>
                                <w:lang w:val="fr-BE"/>
                              </w:rPr>
                              <w:t>dans le cadre d</w:t>
                            </w:r>
                            <w:r w:rsidRPr="00BE37BA">
                              <w:rPr>
                                <w:lang w:val="fr-BE"/>
                              </w:rPr>
                              <w:t>es marchés "directs" soumis au contrôle</w:t>
                            </w:r>
                            <w:r w:rsidR="0039717D">
                              <w:rPr>
                                <w:lang w:val="fr-BE"/>
                              </w:rPr>
                              <w:t xml:space="preserve"> de votre administration</w:t>
                            </w:r>
                            <w:r w:rsidRPr="00BE37BA">
                              <w:rPr>
                                <w:lang w:val="fr-BE"/>
                              </w:rPr>
                              <w:t>, dans le cas où vous contractez avec une entreprise étrangère, ces données doivent être collectées dans le cadre de la procédure de marché public</w:t>
                            </w:r>
                            <w:r w:rsidR="008C2C1C">
                              <w:rPr>
                                <w:lang w:val="fr-BE"/>
                              </w:rPr>
                              <w:t xml:space="preserve"> et encodées</w:t>
                            </w:r>
                            <w:r w:rsidR="00166DE8">
                              <w:rPr>
                                <w:lang w:val="fr-BE"/>
                              </w:rPr>
                              <w:t xml:space="preserve"> par vos soins</w:t>
                            </w:r>
                            <w:r w:rsidR="008C2C1C">
                              <w:rPr>
                                <w:lang w:val="fr-BE"/>
                              </w:rPr>
                              <w:t xml:space="preserve"> dans Calista.</w:t>
                            </w:r>
                            <w:r w:rsidRPr="00BE37BA">
                              <w:rPr>
                                <w:lang w:val="fr-BE"/>
                              </w:rPr>
                              <w:t xml:space="preserve"> Nous vous conseillons dès lors d'en tenir compte lors des appels d'offre que vous réaliserez.</w:t>
                            </w:r>
                          </w:p>
                          <w:p w14:paraId="752DC62B" w14:textId="77777777" w:rsidR="0015702D" w:rsidRDefault="0015702D" w:rsidP="00BE37BA">
                            <w:pPr>
                              <w:rPr>
                                <w:lang w:val="fr-BE"/>
                              </w:rPr>
                            </w:pPr>
                          </w:p>
                          <w:p w14:paraId="5AE74A66" w14:textId="77777777" w:rsidR="0015702D" w:rsidRDefault="0015702D" w:rsidP="00BE37BA">
                            <w:pPr>
                              <w:rPr>
                                <w:lang w:val="fr-BE"/>
                              </w:rPr>
                            </w:pPr>
                          </w:p>
                          <w:p w14:paraId="7C017094" w14:textId="77777777" w:rsidR="0015702D" w:rsidRDefault="0015702D" w:rsidP="00BE37BA">
                            <w:pPr>
                              <w:rPr>
                                <w:lang w:val="fr-BE"/>
                              </w:rPr>
                            </w:pPr>
                          </w:p>
                          <w:p w14:paraId="2D97B7E9" w14:textId="77777777" w:rsidR="0015702D" w:rsidRPr="00BE37BA" w:rsidRDefault="0015702D" w:rsidP="00BE37BA">
                            <w:pPr>
                              <w:rPr>
                                <w:lang w:val="fr-BE"/>
                              </w:rPr>
                            </w:pPr>
                          </w:p>
                          <w:p w14:paraId="1A41C59D" w14:textId="77777777" w:rsidR="00BE37BA" w:rsidRPr="00BE37BA" w:rsidRDefault="00BE37BA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42B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1.15pt;margin-top:-15.5pt;width:416pt;height:8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" fillcolor="white [3201]" strokecolor="white [3212]" strokeweight=".5pt">
                <v:textbox>
                  <w:txbxContent>
                    <w:p w14:paraId="062E271F" w14:textId="3C38B808" w:rsidR="0015702D" w:rsidRDefault="00BE37BA" w:rsidP="008A62B7">
                      <w:pPr>
                        <w:jc w:val="both"/>
                        <w:rPr>
                          <w:lang w:val="fr-BE"/>
                        </w:rPr>
                      </w:pPr>
                      <w:r w:rsidRPr="00BE37BA">
                        <w:rPr>
                          <w:lang w:val="fr-BE"/>
                        </w:rPr>
                        <w:t xml:space="preserve">Pour rappel, comme cela vous a déjà été précisé </w:t>
                      </w:r>
                      <w:r w:rsidR="0039717D">
                        <w:rPr>
                          <w:lang w:val="fr-BE"/>
                        </w:rPr>
                        <w:t>dans le cadre d</w:t>
                      </w:r>
                      <w:r w:rsidRPr="00BE37BA">
                        <w:rPr>
                          <w:lang w:val="fr-BE"/>
                        </w:rPr>
                        <w:t>es marchés "directs" soumis au contrôle</w:t>
                      </w:r>
                      <w:r w:rsidR="0039717D">
                        <w:rPr>
                          <w:lang w:val="fr-BE"/>
                        </w:rPr>
                        <w:t xml:space="preserve"> de votre administration</w:t>
                      </w:r>
                      <w:r w:rsidRPr="00BE37BA">
                        <w:rPr>
                          <w:lang w:val="fr-BE"/>
                        </w:rPr>
                        <w:t>, dans le cas où vous contractez avec une entreprise étrangère, ces données doivent être collectées dans le cadre de la procédure de marché public</w:t>
                      </w:r>
                      <w:r w:rsidR="008C2C1C">
                        <w:rPr>
                          <w:lang w:val="fr-BE"/>
                        </w:rPr>
                        <w:t xml:space="preserve"> et encodées</w:t>
                      </w:r>
                      <w:r w:rsidR="00166DE8">
                        <w:rPr>
                          <w:lang w:val="fr-BE"/>
                        </w:rPr>
                        <w:t xml:space="preserve"> par vos soins</w:t>
                      </w:r>
                      <w:r w:rsidR="008C2C1C">
                        <w:rPr>
                          <w:lang w:val="fr-BE"/>
                        </w:rPr>
                        <w:t xml:space="preserve"> dans Calista.</w:t>
                      </w:r>
                      <w:r w:rsidRPr="00BE37BA">
                        <w:rPr>
                          <w:lang w:val="fr-BE"/>
                        </w:rPr>
                        <w:t xml:space="preserve"> Nous vous conseillons dès lors d'en tenir compte lors des appels d'offre que vous réaliserez.</w:t>
                      </w:r>
                    </w:p>
                    <w:p w14:paraId="752DC62B" w14:textId="77777777" w:rsidR="0015702D" w:rsidRDefault="0015702D" w:rsidP="00BE37BA">
                      <w:pPr>
                        <w:rPr>
                          <w:lang w:val="fr-BE"/>
                        </w:rPr>
                      </w:pPr>
                    </w:p>
                    <w:p w14:paraId="5AE74A66" w14:textId="77777777" w:rsidR="0015702D" w:rsidRDefault="0015702D" w:rsidP="00BE37BA">
                      <w:pPr>
                        <w:rPr>
                          <w:lang w:val="fr-BE"/>
                        </w:rPr>
                      </w:pPr>
                    </w:p>
                    <w:p w14:paraId="7C017094" w14:textId="77777777" w:rsidR="0015702D" w:rsidRDefault="0015702D" w:rsidP="00BE37BA">
                      <w:pPr>
                        <w:rPr>
                          <w:lang w:val="fr-BE"/>
                        </w:rPr>
                      </w:pPr>
                    </w:p>
                    <w:p w14:paraId="2D97B7E9" w14:textId="77777777" w:rsidR="0015702D" w:rsidRPr="00BE37BA" w:rsidRDefault="0015702D" w:rsidP="00BE37BA">
                      <w:pPr>
                        <w:rPr>
                          <w:lang w:val="fr-BE"/>
                        </w:rPr>
                      </w:pPr>
                    </w:p>
                    <w:p w14:paraId="1A41C59D" w14:textId="77777777" w:rsidR="00BE37BA" w:rsidRPr="00BE37BA" w:rsidRDefault="00BE37BA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941">
        <w:rPr>
          <w:noProof/>
          <w:lang w:val="fr-BE"/>
        </w:rPr>
        <w:drawing>
          <wp:inline distT="0" distB="0" distL="0" distR="0" wp14:anchorId="5780FA0A" wp14:editId="4ABE8C8B">
            <wp:extent cx="592455" cy="592455"/>
            <wp:effectExtent l="0" t="0" r="0" b="0"/>
            <wp:docPr id="936272158" name="Graphique 1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72158" name="Graphique 936272158" descr="Avertissement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73" cy="60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883B7" w14:textId="77777777" w:rsidR="00921DAE" w:rsidRDefault="00921DAE" w:rsidP="004E281F">
      <w:pPr>
        <w:jc w:val="both"/>
        <w:rPr>
          <w:lang w:val="fr-BE"/>
        </w:rPr>
      </w:pPr>
    </w:p>
    <w:p w14:paraId="05653E10" w14:textId="77777777" w:rsidR="00921DAE" w:rsidRPr="003A2E4C" w:rsidRDefault="00921DAE" w:rsidP="00921DAE">
      <w:pPr>
        <w:pStyle w:val="Titre2"/>
        <w:rPr>
          <w:lang w:val="fr-BE"/>
        </w:rPr>
      </w:pPr>
      <w:r>
        <w:rPr>
          <w:lang w:val="fr-BE"/>
        </w:rPr>
        <w:t xml:space="preserve">Arbre décisionnel </w:t>
      </w:r>
    </w:p>
    <w:p w14:paraId="671E02FB" w14:textId="77777777" w:rsidR="00921DAE" w:rsidRDefault="00921DAE" w:rsidP="004E281F">
      <w:pPr>
        <w:jc w:val="both"/>
        <w:rPr>
          <w:lang w:val="fr-BE"/>
        </w:rPr>
      </w:pPr>
    </w:p>
    <w:p w14:paraId="28A15FCF" w14:textId="743FA375" w:rsidR="00276D0F" w:rsidRDefault="00B64CBC" w:rsidP="00A85E3D">
      <w:pPr>
        <w:pStyle w:val="Sous-titre"/>
        <w:rPr>
          <w:lang w:val="fr-BE"/>
        </w:rPr>
      </w:pPr>
      <w:r>
        <w:rPr>
          <w:noProof/>
          <w:lang w:val="fr-BE"/>
        </w:rPr>
        <w:drawing>
          <wp:inline distT="0" distB="0" distL="0" distR="0" wp14:anchorId="486EB49E" wp14:editId="0BC1B4AF">
            <wp:extent cx="5972810" cy="5969000"/>
            <wp:effectExtent l="0" t="0" r="8890" b="0"/>
            <wp:docPr id="1253166258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66258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9227" w14:textId="77777777" w:rsidR="003A2E4C" w:rsidRDefault="003A2E4C" w:rsidP="003A2E4C">
      <w:pPr>
        <w:rPr>
          <w:lang w:val="fr-BE"/>
        </w:rPr>
      </w:pPr>
    </w:p>
    <w:p w14:paraId="43548AA4" w14:textId="77777777" w:rsidR="00416DCA" w:rsidRDefault="00416DCA" w:rsidP="004E281F">
      <w:pPr>
        <w:jc w:val="both"/>
        <w:rPr>
          <w:lang w:val="fr-BE"/>
        </w:rPr>
        <w:sectPr w:rsidR="00416DCA" w:rsidSect="00942472">
          <w:headerReference w:type="first" r:id="rId20"/>
          <w:pgSz w:w="12240" w:h="15840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2AB8D93" w14:textId="1E62A140" w:rsidR="00416DCA" w:rsidRDefault="00416DCA" w:rsidP="00784EEA">
      <w:pPr>
        <w:pStyle w:val="Titre2"/>
        <w:rPr>
          <w:lang w:val="fr-BE"/>
        </w:rPr>
      </w:pPr>
      <w:r>
        <w:rPr>
          <w:lang w:val="fr-BE"/>
        </w:rPr>
        <w:lastRenderedPageBreak/>
        <w:t>Définitions</w:t>
      </w:r>
      <w:r w:rsidR="004957B9">
        <w:rPr>
          <w:lang w:val="fr-BE"/>
        </w:rPr>
        <w:t xml:space="preserve"> des coûts</w:t>
      </w:r>
    </w:p>
    <w:p w14:paraId="0FFD748B" w14:textId="77777777" w:rsidR="00784EEA" w:rsidRPr="00784EEA" w:rsidRDefault="00784EEA" w:rsidP="00784EEA">
      <w:pPr>
        <w:rPr>
          <w:lang w:val="fr-BE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5630"/>
      </w:tblGrid>
      <w:tr w:rsidR="00416DCA" w14:paraId="03751939" w14:textId="77777777" w:rsidTr="2579B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0C9D42" w14:textId="77777777" w:rsidR="00416DCA" w:rsidRDefault="00416DCA"/>
        </w:tc>
        <w:tc>
          <w:tcPr>
            <w:tcW w:w="5103" w:type="dxa"/>
          </w:tcPr>
          <w:p w14:paraId="24F9C339" w14:textId="77777777" w:rsidR="00416DCA" w:rsidRDefault="00416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86B2A">
              <w:rPr>
                <w:sz w:val="32"/>
                <w:szCs w:val="32"/>
              </w:rPr>
              <w:t>Coûts</w:t>
            </w:r>
            <w:proofErr w:type="spellEnd"/>
            <w:r w:rsidRPr="00986B2A">
              <w:rPr>
                <w:sz w:val="32"/>
                <w:szCs w:val="32"/>
              </w:rPr>
              <w:t xml:space="preserve"> directs</w:t>
            </w:r>
          </w:p>
        </w:tc>
        <w:tc>
          <w:tcPr>
            <w:tcW w:w="5630" w:type="dxa"/>
          </w:tcPr>
          <w:p w14:paraId="1CC317CF" w14:textId="77777777" w:rsidR="00416DCA" w:rsidRDefault="00416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86B2A">
              <w:rPr>
                <w:sz w:val="32"/>
                <w:szCs w:val="32"/>
              </w:rPr>
              <w:t>Coûts</w:t>
            </w:r>
            <w:proofErr w:type="spellEnd"/>
            <w:r w:rsidRPr="00986B2A">
              <w:rPr>
                <w:sz w:val="32"/>
                <w:szCs w:val="32"/>
              </w:rPr>
              <w:t xml:space="preserve"> </w:t>
            </w:r>
            <w:proofErr w:type="spellStart"/>
            <w:r w:rsidRPr="00986B2A">
              <w:rPr>
                <w:sz w:val="32"/>
                <w:szCs w:val="32"/>
              </w:rPr>
              <w:t>indirects</w:t>
            </w:r>
            <w:proofErr w:type="spellEnd"/>
          </w:p>
        </w:tc>
      </w:tr>
      <w:tr w:rsidR="00416DCA" w:rsidRPr="0066209E" w14:paraId="7614E98B" w14:textId="77777777" w:rsidTr="2579B1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55BF3" w14:textId="77777777" w:rsidR="00416DCA" w:rsidRDefault="00416DCA">
            <w:pPr>
              <w:rPr>
                <w:b w:val="0"/>
                <w:bCs w:val="0"/>
              </w:rPr>
            </w:pPr>
          </w:p>
          <w:p w14:paraId="6BB5549D" w14:textId="77777777" w:rsidR="00416DCA" w:rsidRDefault="00416DCA">
            <w:pPr>
              <w:jc w:val="center"/>
            </w:pPr>
            <w:proofErr w:type="spellStart"/>
            <w:r>
              <w:t>Définition</w:t>
            </w:r>
            <w:proofErr w:type="spellEnd"/>
          </w:p>
        </w:tc>
        <w:tc>
          <w:tcPr>
            <w:tcW w:w="5103" w:type="dxa"/>
          </w:tcPr>
          <w:p w14:paraId="267BF4FC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7C723B63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  <w:r w:rsidRPr="00436ADD">
              <w:rPr>
                <w:lang w:val="fr-BE"/>
              </w:rPr>
              <w:t xml:space="preserve">Coûts clairement et exclusivement liés à la mise en œuvre du projet. </w:t>
            </w:r>
          </w:p>
          <w:p w14:paraId="455D4EFC" w14:textId="77777777" w:rsidR="00416DCA" w:rsidRPr="00435133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5630" w:type="dxa"/>
          </w:tcPr>
          <w:p w14:paraId="27ABE381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08438A0F" w14:textId="77777777" w:rsidR="00416DCA" w:rsidRPr="00436ADD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  <w:r w:rsidRPr="00436ADD">
              <w:rPr>
                <w:lang w:val="fr-BE"/>
              </w:rPr>
              <w:t xml:space="preserve">Coûts non exclusivement liés à la mise en œuvre du projet. </w:t>
            </w:r>
          </w:p>
          <w:p w14:paraId="22140BC9" w14:textId="77777777" w:rsidR="00416DCA" w:rsidRPr="00435133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416DCA" w:rsidRPr="00435133" w14:paraId="3CD11065" w14:textId="77777777" w:rsidTr="2579B1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507D4C" w14:textId="77777777" w:rsidR="00416DCA" w:rsidRPr="00435133" w:rsidRDefault="00416DCA">
            <w:pPr>
              <w:rPr>
                <w:b w:val="0"/>
                <w:bCs w:val="0"/>
                <w:lang w:val="fr-BE"/>
              </w:rPr>
            </w:pPr>
          </w:p>
          <w:p w14:paraId="79E39390" w14:textId="77777777" w:rsidR="00416DCA" w:rsidRPr="00435133" w:rsidRDefault="00416DCA">
            <w:pPr>
              <w:jc w:val="center"/>
              <w:rPr>
                <w:lang w:val="fr-BE"/>
              </w:rPr>
            </w:pPr>
            <w:r w:rsidRPr="00435133">
              <w:rPr>
                <w:lang w:val="fr-BE"/>
              </w:rPr>
              <w:t>Coûts concernés éligibles eu égard aux règles d’éligibilité des dépenses</w:t>
            </w:r>
          </w:p>
        </w:tc>
        <w:tc>
          <w:tcPr>
            <w:tcW w:w="5103" w:type="dxa"/>
          </w:tcPr>
          <w:p w14:paraId="2AA0FC0A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416DCA" w:rsidRPr="0066209E" w14:paraId="6759207D" w14:textId="77777777">
              <w:tc>
                <w:tcPr>
                  <w:tcW w:w="4877" w:type="dxa"/>
                  <w:shd w:val="clear" w:color="auto" w:fill="DAE9F7" w:themeFill="text2" w:themeFillTint="1A"/>
                </w:tcPr>
                <w:p w14:paraId="7CF1E7DE" w14:textId="77777777" w:rsidR="00416DCA" w:rsidRDefault="00416DCA">
                  <w:pPr>
                    <w:rPr>
                      <w:lang w:val="fr-BE"/>
                    </w:rPr>
                  </w:pPr>
                  <w:r w:rsidRPr="00854216">
                    <w:rPr>
                      <w:b/>
                      <w:bCs/>
                      <w:lang w:val="fr-BE"/>
                    </w:rPr>
                    <w:t>Frais de recherch</w:t>
                  </w:r>
                  <w:r>
                    <w:rPr>
                      <w:b/>
                      <w:bCs/>
                      <w:lang w:val="fr-BE"/>
                    </w:rPr>
                    <w:t>e* (</w:t>
                  </w:r>
                  <w:proofErr w:type="spellStart"/>
                  <w:r>
                    <w:rPr>
                      <w:b/>
                      <w:bCs/>
                      <w:lang w:val="fr-BE"/>
                    </w:rPr>
                    <w:t>tx</w:t>
                  </w:r>
                  <w:proofErr w:type="spellEnd"/>
                  <w:r>
                    <w:rPr>
                      <w:b/>
                      <w:bCs/>
                      <w:lang w:val="fr-BE"/>
                    </w:rPr>
                    <w:t xml:space="preserve"> forfaitaire 40% - FEDER/FTJ)</w:t>
                  </w:r>
                </w:p>
              </w:tc>
            </w:tr>
            <w:tr w:rsidR="00416DCA" w:rsidRPr="0066209E" w14:paraId="72713F82" w14:textId="77777777">
              <w:tc>
                <w:tcPr>
                  <w:tcW w:w="4877" w:type="dxa"/>
                </w:tcPr>
                <w:p w14:paraId="61404A87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</w:t>
                  </w:r>
                  <w:r w:rsidRPr="00B10460">
                    <w:rPr>
                      <w:lang w:val="fr-BE"/>
                    </w:rPr>
                    <w:t>es coûts des instruments et du matériel spécifiquement utilisés pour le projet ;</w:t>
                  </w:r>
                </w:p>
                <w:p w14:paraId="7A780531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</w:t>
                  </w:r>
                  <w:r w:rsidRPr="00B10460">
                    <w:rPr>
                      <w:lang w:val="fr-BE"/>
                    </w:rPr>
                    <w:t>es coûts de la recherche contractuelle, des connaissances et des brevets achetés ou pris sous licence auprès de sources extérieures à des conditions de pleine concurrence</w:t>
                  </w:r>
                  <w:r>
                    <w:rPr>
                      <w:lang w:val="fr-BE"/>
                    </w:rPr>
                    <w:t> ;</w:t>
                  </w:r>
                </w:p>
                <w:p w14:paraId="696C1512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</w:t>
                  </w:r>
                  <w:r w:rsidRPr="00B10460">
                    <w:rPr>
                      <w:lang w:val="fr-BE"/>
                    </w:rPr>
                    <w:t xml:space="preserve">es coûts des services de conseil et des services équivalents utilisés exclusivement aux fins du projet. </w:t>
                  </w:r>
                </w:p>
              </w:tc>
            </w:tr>
          </w:tbl>
          <w:p w14:paraId="7D9E549C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416DCA" w:rsidRPr="0066209E" w14:paraId="0EEDB7A4" w14:textId="77777777" w:rsidTr="2579B115">
              <w:tc>
                <w:tcPr>
                  <w:tcW w:w="4877" w:type="dxa"/>
                  <w:shd w:val="clear" w:color="auto" w:fill="DAE9F7" w:themeFill="text2" w:themeFillTint="1A"/>
                </w:tcPr>
                <w:p w14:paraId="3E20E493" w14:textId="77777777" w:rsidR="00416DCA" w:rsidRDefault="00416DCA">
                  <w:pPr>
                    <w:rPr>
                      <w:lang w:val="fr-BE"/>
                    </w:rPr>
                  </w:pPr>
                  <w:r w:rsidRPr="00854216">
                    <w:rPr>
                      <w:b/>
                      <w:bCs/>
                      <w:lang w:val="fr-BE"/>
                    </w:rPr>
                    <w:t>Frais liés à l’accompagnement d’entreprises, à l’animation dans un lieu de vie, à la valorisation économique des résultats de la recherche</w:t>
                  </w:r>
                  <w:r>
                    <w:rPr>
                      <w:b/>
                      <w:bCs/>
                      <w:lang w:val="fr-BE"/>
                    </w:rPr>
                    <w:t>* (coûts unitaires)</w:t>
                  </w:r>
                </w:p>
              </w:tc>
            </w:tr>
            <w:tr w:rsidR="00416DCA" w:rsidRPr="0066209E" w14:paraId="381A203E" w14:textId="77777777" w:rsidTr="2579B115">
              <w:tc>
                <w:tcPr>
                  <w:tcW w:w="4877" w:type="dxa"/>
                </w:tcPr>
                <w:p w14:paraId="50AAD90E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B10460">
                    <w:rPr>
                      <w:rFonts w:cs="Calibri"/>
                      <w:color w:val="000000"/>
                      <w:szCs w:val="20"/>
                      <w:lang w:val="fr-BE"/>
                    </w:rPr>
                    <w:t xml:space="preserve">Frais liés à la mise en œuvre des produits et livrables ; </w:t>
                  </w:r>
                </w:p>
                <w:p w14:paraId="4555DD0E" w14:textId="5BFAA21B" w:rsidR="00416DCA" w:rsidRDefault="00416DCA" w:rsidP="2579B115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lang w:val="fr-BE"/>
                    </w:rPr>
                  </w:pPr>
                  <w:r w:rsidRPr="2579B115">
                    <w:rPr>
                      <w:rFonts w:cs="Calibri"/>
                      <w:color w:val="000000" w:themeColor="text1"/>
                      <w:lang w:val="fr-BE"/>
                    </w:rPr>
                    <w:lastRenderedPageBreak/>
                    <w:t xml:space="preserve">Frais </w:t>
                  </w:r>
                  <w:proofErr w:type="gramStart"/>
                  <w:r w:rsidRPr="2579B115">
                    <w:rPr>
                      <w:rFonts w:cs="Calibri"/>
                      <w:color w:val="000000" w:themeColor="text1"/>
                      <w:lang w:val="fr-BE"/>
                    </w:rPr>
                    <w:t>informatique liés</w:t>
                  </w:r>
                  <w:proofErr w:type="gramEnd"/>
                  <w:r w:rsidRPr="2579B115">
                    <w:rPr>
                      <w:rFonts w:cs="Calibri"/>
                      <w:color w:val="000000" w:themeColor="text1"/>
                      <w:lang w:val="fr-BE"/>
                    </w:rPr>
                    <w:t xml:space="preserve"> aux livrables ;</w:t>
                  </w:r>
                </w:p>
                <w:p w14:paraId="0A0E3C4E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B10460">
                    <w:rPr>
                      <w:rFonts w:cs="Calibri"/>
                      <w:color w:val="000000"/>
                      <w:szCs w:val="20"/>
                      <w:lang w:val="fr-BE"/>
                    </w:rPr>
                    <w:t xml:space="preserve">Frais de stratégie de communication, de promotion des produits et livrables et de </w:t>
                  </w:r>
                  <w:proofErr w:type="spellStart"/>
                  <w:r w:rsidRPr="00B10460">
                    <w:rPr>
                      <w:rFonts w:cs="Calibri"/>
                      <w:color w:val="000000"/>
                      <w:szCs w:val="20"/>
                      <w:lang w:val="fr-BE"/>
                    </w:rPr>
                    <w:t>branding</w:t>
                  </w:r>
                  <w:proofErr w:type="spellEnd"/>
                  <w:r w:rsidRPr="00B10460">
                    <w:rPr>
                      <w:rFonts w:cs="Calibri"/>
                      <w:color w:val="000000"/>
                      <w:szCs w:val="20"/>
                      <w:lang w:val="fr-BE"/>
                    </w:rPr>
                    <w:t> ;</w:t>
                  </w:r>
                </w:p>
                <w:p w14:paraId="5F2C241F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B10460">
                    <w:rPr>
                      <w:rFonts w:cs="Calibri"/>
                      <w:color w:val="000000"/>
                      <w:szCs w:val="20"/>
                      <w:lang w:val="fr-BE"/>
                    </w:rPr>
                    <w:t>Frais liés à la construction de communautés et groupes d’entrepreneurs ;</w:t>
                  </w:r>
                </w:p>
                <w:p w14:paraId="3B72A469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435133">
                    <w:rPr>
                      <w:rFonts w:cs="Calibri"/>
                      <w:color w:val="000000"/>
                      <w:szCs w:val="20"/>
                      <w:lang w:val="fr-BE"/>
                    </w:rPr>
                    <w:t>Frais liés à la construction de communautés et groupes d’entrepreneurs</w:t>
                  </w:r>
                  <w:r>
                    <w:rPr>
                      <w:rFonts w:cs="Calibri"/>
                      <w:color w:val="000000"/>
                      <w:szCs w:val="20"/>
                      <w:lang w:val="fr-BE"/>
                    </w:rPr>
                    <w:t>.</w:t>
                  </w:r>
                </w:p>
              </w:tc>
            </w:tr>
          </w:tbl>
          <w:p w14:paraId="5D53CB08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416DCA" w:rsidRPr="0066209E" w14:paraId="1D70332A" w14:textId="77777777">
              <w:tc>
                <w:tcPr>
                  <w:tcW w:w="4877" w:type="dxa"/>
                  <w:shd w:val="clear" w:color="auto" w:fill="DAE9F7" w:themeFill="text2" w:themeFillTint="1A"/>
                </w:tcPr>
                <w:p w14:paraId="72A0C9F2" w14:textId="77777777" w:rsidR="00416DCA" w:rsidRDefault="00416DCA">
                  <w:pPr>
                    <w:rPr>
                      <w:lang w:val="fr-BE"/>
                    </w:rPr>
                  </w:pPr>
                  <w:r>
                    <w:rPr>
                      <w:b/>
                      <w:bCs/>
                      <w:lang w:val="fr-BE"/>
                    </w:rPr>
                    <w:t>Coûts indirects d’infrastructure* (</w:t>
                  </w:r>
                  <w:proofErr w:type="spellStart"/>
                  <w:r>
                    <w:rPr>
                      <w:b/>
                      <w:bCs/>
                      <w:lang w:val="fr-BE"/>
                    </w:rPr>
                    <w:t>tx</w:t>
                  </w:r>
                  <w:proofErr w:type="spellEnd"/>
                  <w:r>
                    <w:rPr>
                      <w:b/>
                      <w:bCs/>
                      <w:lang w:val="fr-BE"/>
                    </w:rPr>
                    <w:t xml:space="preserve"> forfaitaire 7% (FEDER-FTJ) 8% (PNRR)</w:t>
                  </w:r>
                </w:p>
              </w:tc>
            </w:tr>
            <w:tr w:rsidR="00416DCA" w:rsidRPr="0066209E" w14:paraId="0160ED31" w14:textId="77777777">
              <w:tc>
                <w:tcPr>
                  <w:tcW w:w="4877" w:type="dxa"/>
                </w:tcPr>
                <w:p w14:paraId="74679B9C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d’études d’avant-projet et de projet ;</w:t>
                  </w:r>
                </w:p>
                <w:p w14:paraId="45C9A935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 xml:space="preserve">Frais liés à la passation de marchés publics (consultation et proposition de choix) ; </w:t>
                  </w:r>
                </w:p>
                <w:p w14:paraId="646D21B4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d’études et plans d’exécution ;</w:t>
                  </w:r>
                </w:p>
                <w:p w14:paraId="49B2F339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liés au contrôle de l’exécution des travaux ;</w:t>
                  </w:r>
                </w:p>
                <w:p w14:paraId="71299CB5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de collaboration à la réception provisoire et définitive ;</w:t>
                  </w:r>
                </w:p>
                <w:p w14:paraId="646DC523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liés à la coordination et au suivi des études ;</w:t>
                  </w:r>
                </w:p>
                <w:p w14:paraId="6230B371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lang w:val="fr-BE"/>
                    </w:rPr>
                  </w:pPr>
                  <w:r w:rsidRPr="00B10460">
                    <w:rPr>
                      <w:lang w:val="fr-BE"/>
                    </w:rPr>
                    <w:t>Frais d’assistance au contrôle budgétaire.</w:t>
                  </w:r>
                </w:p>
              </w:tc>
            </w:tr>
          </w:tbl>
          <w:p w14:paraId="7E781CEE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416DCA" w:rsidRPr="0066209E" w14:paraId="11F5F5E1" w14:textId="77777777">
              <w:tc>
                <w:tcPr>
                  <w:tcW w:w="4877" w:type="dxa"/>
                  <w:shd w:val="clear" w:color="auto" w:fill="DAE9F7" w:themeFill="text2" w:themeFillTint="1A"/>
                </w:tcPr>
                <w:p w14:paraId="60FAD623" w14:textId="77777777" w:rsidR="00416DCA" w:rsidRDefault="00416DCA">
                  <w:pPr>
                    <w:rPr>
                      <w:lang w:val="fr-BE"/>
                    </w:rPr>
                  </w:pPr>
                  <w:r>
                    <w:rPr>
                      <w:b/>
                      <w:bCs/>
                      <w:lang w:val="fr-BE"/>
                    </w:rPr>
                    <w:lastRenderedPageBreak/>
                    <w:t>Taux forfaitaire couvrant les frais additionnels* (</w:t>
                  </w:r>
                  <w:proofErr w:type="spellStart"/>
                  <w:r>
                    <w:rPr>
                      <w:b/>
                      <w:bCs/>
                      <w:lang w:val="fr-BE"/>
                    </w:rPr>
                    <w:t>tx</w:t>
                  </w:r>
                  <w:proofErr w:type="spellEnd"/>
                  <w:r>
                    <w:rPr>
                      <w:b/>
                      <w:bCs/>
                      <w:lang w:val="fr-BE"/>
                    </w:rPr>
                    <w:t xml:space="preserve"> forfaitaire 25% projets de recherche PNRR)</w:t>
                  </w:r>
                </w:p>
              </w:tc>
            </w:tr>
            <w:tr w:rsidR="00416DCA" w:rsidRPr="0066209E" w14:paraId="6EBB42DD" w14:textId="77777777">
              <w:tc>
                <w:tcPr>
                  <w:tcW w:w="4877" w:type="dxa"/>
                </w:tcPr>
                <w:p w14:paraId="23E66134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Outillage, petit matériel et équipement ;</w:t>
                  </w:r>
                </w:p>
                <w:p w14:paraId="582BBEA9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Maintenance, entretien et calibration des équipements amortis et utilisés dans le cadre de la recherche ;</w:t>
                  </w:r>
                </w:p>
                <w:p w14:paraId="213E5122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 w:rsidRPr="00435133">
                    <w:rPr>
                      <w:lang w:val="fr-BE"/>
                    </w:rPr>
                    <w:t>Prestations de service (sous-traitance) de basse et de moyenne technicité</w:t>
                  </w:r>
                  <w:r>
                    <w:rPr>
                      <w:lang w:val="fr-BE"/>
                    </w:rPr>
                    <w:t>.</w:t>
                  </w:r>
                </w:p>
              </w:tc>
            </w:tr>
          </w:tbl>
          <w:p w14:paraId="21011D5C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42D01CAD" w14:textId="77777777" w:rsidR="00416DCA" w:rsidRPr="00435133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5630" w:type="dxa"/>
          </w:tcPr>
          <w:p w14:paraId="44E8F2E9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04"/>
            </w:tblGrid>
            <w:tr w:rsidR="00416DCA" w14:paraId="380A46BC" w14:textId="77777777">
              <w:tc>
                <w:tcPr>
                  <w:tcW w:w="5404" w:type="dxa"/>
                  <w:shd w:val="clear" w:color="auto" w:fill="DAE9F7" w:themeFill="text2" w:themeFillTint="1A"/>
                </w:tcPr>
                <w:p w14:paraId="37BBBB39" w14:textId="77777777" w:rsidR="00416DCA" w:rsidRDefault="00416DCA">
                  <w:pPr>
                    <w:rPr>
                      <w:lang w:val="fr-BE"/>
                    </w:rPr>
                  </w:pPr>
                  <w:r w:rsidRPr="00854216">
                    <w:rPr>
                      <w:b/>
                      <w:bCs/>
                      <w:lang w:val="fr-BE"/>
                    </w:rPr>
                    <w:t xml:space="preserve">Coûts indirects </w:t>
                  </w:r>
                  <w:r>
                    <w:rPr>
                      <w:b/>
                      <w:bCs/>
                      <w:lang w:val="fr-BE"/>
                    </w:rPr>
                    <w:t>(</w:t>
                  </w:r>
                  <w:proofErr w:type="spellStart"/>
                  <w:r>
                    <w:rPr>
                      <w:b/>
                      <w:bCs/>
                      <w:lang w:val="fr-BE"/>
                    </w:rPr>
                    <w:t>tx</w:t>
                  </w:r>
                  <w:proofErr w:type="spellEnd"/>
                  <w:r>
                    <w:rPr>
                      <w:b/>
                      <w:bCs/>
                      <w:lang w:val="fr-BE"/>
                    </w:rPr>
                    <w:t xml:space="preserve"> forfaitaire 15%)</w:t>
                  </w:r>
                </w:p>
              </w:tc>
            </w:tr>
            <w:tr w:rsidR="00416DCA" w:rsidRPr="0066209E" w14:paraId="29AC4065" w14:textId="77777777">
              <w:tc>
                <w:tcPr>
                  <w:tcW w:w="5404" w:type="dxa"/>
                </w:tcPr>
                <w:p w14:paraId="7D4869A4" w14:textId="77777777" w:rsidR="00416DCA" w:rsidRPr="002F3528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Frais liés à l’utilisation du bâtiment où le personnel est installé (assurances, eau, électricité, chauffage, location de bureau) ; </w:t>
                  </w:r>
                </w:p>
                <w:p w14:paraId="5E09C67E" w14:textId="77777777" w:rsidR="00416DCA" w:rsidRPr="002F3528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Petits équipements de bureau (mobilier de bureau, fournitures de bureau) ; </w:t>
                  </w:r>
                </w:p>
                <w:p w14:paraId="3810AAD0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Frais de télécommunication (téléphonie, internet, fax) ; </w:t>
                  </w:r>
                </w:p>
                <w:p w14:paraId="7275BBA3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9"/>
                    </w:numPr>
                    <w:spacing w:after="200" w:line="276" w:lineRule="auto"/>
                    <w:rPr>
                      <w:lang w:val="fr-BE"/>
                    </w:rPr>
                  </w:pPr>
                  <w:r w:rsidRPr="00435133">
                    <w:rPr>
                      <w:lang w:val="fr-BE"/>
                    </w:rPr>
                    <w:t>Frais d’aménagement et d’entretien des locaux.</w:t>
                  </w:r>
                </w:p>
              </w:tc>
            </w:tr>
          </w:tbl>
          <w:p w14:paraId="502F36FC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04"/>
            </w:tblGrid>
            <w:tr w:rsidR="00416DCA" w:rsidRPr="0066209E" w14:paraId="1BB8DFC0" w14:textId="77777777">
              <w:tc>
                <w:tcPr>
                  <w:tcW w:w="5404" w:type="dxa"/>
                  <w:shd w:val="clear" w:color="auto" w:fill="DAE9F7" w:themeFill="text2" w:themeFillTint="1A"/>
                </w:tcPr>
                <w:p w14:paraId="3E5D48A6" w14:textId="77777777" w:rsidR="00416DCA" w:rsidRDefault="00416DCA">
                  <w:pPr>
                    <w:rPr>
                      <w:lang w:val="fr-BE"/>
                    </w:rPr>
                  </w:pPr>
                  <w:r w:rsidRPr="00854216">
                    <w:rPr>
                      <w:b/>
                      <w:bCs/>
                      <w:lang w:val="fr-BE"/>
                    </w:rPr>
                    <w:t>Frais liés à l’accompagnement d’entreprises, à l’animation dans un lieu de vie, à la valorisation économique des résultats de la recherche</w:t>
                  </w:r>
                  <w:r>
                    <w:rPr>
                      <w:b/>
                      <w:bCs/>
                      <w:lang w:val="fr-BE"/>
                    </w:rPr>
                    <w:t xml:space="preserve"> (coûts unitaires)</w:t>
                  </w:r>
                </w:p>
              </w:tc>
            </w:tr>
            <w:tr w:rsidR="00416DCA" w:rsidRPr="0066209E" w14:paraId="6A607C29" w14:textId="77777777">
              <w:tc>
                <w:tcPr>
                  <w:tcW w:w="5404" w:type="dxa"/>
                </w:tcPr>
                <w:p w14:paraId="1E6C7B41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>
                    <w:rPr>
                      <w:rFonts w:cs="Calibri"/>
                      <w:color w:val="000000"/>
                      <w:szCs w:val="20"/>
                      <w:lang w:val="fr-BE"/>
                    </w:rPr>
                    <w:t>Rémunération des assistants ;</w:t>
                  </w:r>
                </w:p>
                <w:p w14:paraId="42C1306C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200" w:line="276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>
                    <w:rPr>
                      <w:rFonts w:cs="Calibri"/>
                      <w:color w:val="000000"/>
                      <w:szCs w:val="20"/>
                      <w:lang w:val="fr-BE"/>
                    </w:rPr>
                    <w:t>La partie de la rémunération de la direction directement liée aux produits et aux livrables ;</w:t>
                  </w:r>
                </w:p>
                <w:p w14:paraId="086B87D7" w14:textId="77777777" w:rsidR="00416DCA" w:rsidRPr="00985BA7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160" w:line="278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985BA7">
                    <w:rPr>
                      <w:rFonts w:cs="Calibri"/>
                      <w:color w:val="000000"/>
                      <w:szCs w:val="20"/>
                      <w:lang w:val="fr-BE"/>
                    </w:rPr>
                    <w:lastRenderedPageBreak/>
                    <w:t xml:space="preserve">Equipements utilisés dans le cadre des produits et livrables ; </w:t>
                  </w:r>
                </w:p>
                <w:p w14:paraId="2046E619" w14:textId="77777777" w:rsidR="00416DCA" w:rsidRPr="002F3528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160" w:line="278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Frais liés à l’utilisation du bâtiment où le personnel est installé (assurances, eau, électricité, chauffage, location de bureau) ; </w:t>
                  </w:r>
                </w:p>
                <w:p w14:paraId="5AF62040" w14:textId="77777777" w:rsidR="00416DCA" w:rsidRPr="002F3528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160" w:line="278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Petits équipements de bureau (mobilier de bureau, fournitures de bureau) ; </w:t>
                  </w:r>
                </w:p>
                <w:p w14:paraId="2F4028EB" w14:textId="77777777" w:rsidR="00416DCA" w:rsidRPr="002F3528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160" w:line="278" w:lineRule="auto"/>
                    <w:rPr>
                      <w:lang w:val="fr-BE"/>
                    </w:rPr>
                  </w:pPr>
                  <w:r w:rsidRPr="008F2755">
                    <w:rPr>
                      <w:lang w:val="fr-BE"/>
                    </w:rPr>
                    <w:t xml:space="preserve">Frais de télécommunication (téléphonie, internet, fax) ; </w:t>
                  </w:r>
                </w:p>
                <w:p w14:paraId="4B6E87E7" w14:textId="77777777" w:rsidR="00416DCA" w:rsidRPr="00435133" w:rsidRDefault="00416DCA" w:rsidP="00416DCA">
                  <w:pPr>
                    <w:pStyle w:val="Paragraphedeliste"/>
                    <w:numPr>
                      <w:ilvl w:val="0"/>
                      <w:numId w:val="10"/>
                    </w:numPr>
                    <w:spacing w:after="160" w:line="278" w:lineRule="auto"/>
                    <w:rPr>
                      <w:rFonts w:cs="Calibri"/>
                      <w:color w:val="000000"/>
                      <w:szCs w:val="20"/>
                      <w:lang w:val="fr-BE"/>
                    </w:rPr>
                  </w:pPr>
                  <w:r w:rsidRPr="002F3528">
                    <w:rPr>
                      <w:lang w:val="fr-BE"/>
                    </w:rPr>
                    <w:t>Frais d’aménagement et d’entretien des locaux.</w:t>
                  </w:r>
                </w:p>
              </w:tc>
            </w:tr>
          </w:tbl>
          <w:p w14:paraId="12882988" w14:textId="77777777" w:rsidR="00416DCA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04"/>
            </w:tblGrid>
            <w:tr w:rsidR="00416DCA" w:rsidRPr="0066209E" w14:paraId="0BE1C78D" w14:textId="77777777">
              <w:tc>
                <w:tcPr>
                  <w:tcW w:w="5404" w:type="dxa"/>
                  <w:shd w:val="clear" w:color="auto" w:fill="DAE9F7" w:themeFill="text2" w:themeFillTint="1A"/>
                </w:tcPr>
                <w:p w14:paraId="0CAE0AD2" w14:textId="77777777" w:rsidR="00416DCA" w:rsidRDefault="00416DCA">
                  <w:pPr>
                    <w:rPr>
                      <w:lang w:val="fr-BE"/>
                    </w:rPr>
                  </w:pPr>
                  <w:r>
                    <w:rPr>
                      <w:b/>
                      <w:bCs/>
                      <w:lang w:val="fr-BE"/>
                    </w:rPr>
                    <w:t>Taux forfaitaire couvrant les frais additionnels (</w:t>
                  </w:r>
                  <w:proofErr w:type="spellStart"/>
                  <w:r>
                    <w:rPr>
                      <w:b/>
                      <w:bCs/>
                      <w:lang w:val="fr-BE"/>
                    </w:rPr>
                    <w:t>tx</w:t>
                  </w:r>
                  <w:proofErr w:type="spellEnd"/>
                  <w:r>
                    <w:rPr>
                      <w:b/>
                      <w:bCs/>
                      <w:lang w:val="fr-BE"/>
                    </w:rPr>
                    <w:t xml:space="preserve"> forfaitaire 25% projets de recherche PNRR)</w:t>
                  </w:r>
                </w:p>
              </w:tc>
            </w:tr>
            <w:tr w:rsidR="00416DCA" w14:paraId="5B9A0D18" w14:textId="77777777">
              <w:tc>
                <w:tcPr>
                  <w:tcW w:w="5404" w:type="dxa"/>
                </w:tcPr>
                <w:p w14:paraId="6FB1149B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 xml:space="preserve">Consommables ; </w:t>
                  </w:r>
                </w:p>
                <w:p w14:paraId="77707AD6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Coûts et pertes de production ;</w:t>
                  </w:r>
                </w:p>
                <w:p w14:paraId="31255FC0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Frais liés au travail des administrateurs, gérants, associés et dirigeants rémunérés par une société tierce (société de management) ;</w:t>
                  </w:r>
                </w:p>
                <w:p w14:paraId="01D713E8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Frais de formation et de documentation ;</w:t>
                  </w:r>
                </w:p>
                <w:p w14:paraId="332365E0" w14:textId="77777777" w:rsidR="00416DCA" w:rsidRPr="00371A32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Missions en Belgique et à l’étranger ;</w:t>
                  </w:r>
                </w:p>
                <w:p w14:paraId="70081DDD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Secrétariat, comptabilité, aspects juridiques ;</w:t>
                  </w:r>
                </w:p>
                <w:p w14:paraId="026E8FD0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Télécommunication et photocopies ;</w:t>
                  </w:r>
                </w:p>
                <w:p w14:paraId="668FE106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 xml:space="preserve">Petit matériel de bureau ; </w:t>
                  </w:r>
                </w:p>
                <w:p w14:paraId="38B88171" w14:textId="77777777" w:rsidR="00416DCA" w:rsidRPr="00DE146D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b/>
                      <w:bCs/>
                      <w:lang w:val="fr-BE"/>
                    </w:rPr>
                  </w:pPr>
                  <w:r>
                    <w:rPr>
                      <w:lang w:val="fr-BE"/>
                    </w:rPr>
                    <w:t>Fluides génériques ;</w:t>
                  </w:r>
                </w:p>
                <w:p w14:paraId="194AA9DD" w14:textId="77777777" w:rsidR="00416DCA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lang w:val="fr-BE"/>
                    </w:rPr>
                  </w:pPr>
                  <w:r w:rsidRPr="00DE146D">
                    <w:rPr>
                      <w:lang w:val="fr-BE"/>
                    </w:rPr>
                    <w:t>Assurances ;</w:t>
                  </w:r>
                </w:p>
                <w:p w14:paraId="606346A5" w14:textId="77777777" w:rsidR="00416DCA" w:rsidRPr="00FC0556" w:rsidRDefault="00416DCA" w:rsidP="00416DCA">
                  <w:pPr>
                    <w:pStyle w:val="Paragraphedeliste"/>
                    <w:numPr>
                      <w:ilvl w:val="0"/>
                      <w:numId w:val="13"/>
                    </w:numPr>
                    <w:spacing w:after="200" w:line="276" w:lineRule="auto"/>
                    <w:rPr>
                      <w:lang w:val="fr-BE"/>
                    </w:rPr>
                  </w:pPr>
                  <w:r w:rsidRPr="00FC0556">
                    <w:rPr>
                      <w:lang w:val="fr-BE"/>
                    </w:rPr>
                    <w:t>Frais immobiliers.</w:t>
                  </w:r>
                </w:p>
              </w:tc>
            </w:tr>
          </w:tbl>
          <w:p w14:paraId="3FF533CD" w14:textId="77777777" w:rsidR="00416DCA" w:rsidRPr="00435133" w:rsidRDefault="0041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</w:tbl>
    <w:p w14:paraId="7F2544CC" w14:textId="77777777" w:rsidR="00416DCA" w:rsidRDefault="00416DCA" w:rsidP="0090078C">
      <w:pPr>
        <w:rPr>
          <w:i/>
          <w:iCs/>
          <w:lang w:val="fr-BE"/>
        </w:rPr>
      </w:pPr>
      <w:r w:rsidRPr="00F13645">
        <w:rPr>
          <w:i/>
          <w:iCs/>
          <w:lang w:val="fr-BE"/>
        </w:rPr>
        <w:lastRenderedPageBreak/>
        <w:t xml:space="preserve">* Dès lors qu’il est fait appel à des prestataires externes </w:t>
      </w:r>
      <w:r>
        <w:rPr>
          <w:i/>
          <w:iCs/>
          <w:lang w:val="fr-BE"/>
        </w:rPr>
        <w:t>dans le cadre de procédures de marchés public</w:t>
      </w:r>
    </w:p>
    <w:p w14:paraId="01C7EE1E" w14:textId="77777777" w:rsidR="000E6C6D" w:rsidRDefault="000E6C6D" w:rsidP="0090078C">
      <w:pPr>
        <w:rPr>
          <w:i/>
          <w:iCs/>
          <w:lang w:val="fr-BE"/>
        </w:rPr>
      </w:pPr>
    </w:p>
    <w:p w14:paraId="0DA4BD03" w14:textId="77777777" w:rsidR="000E6C6D" w:rsidRDefault="000E6C6D" w:rsidP="0090078C">
      <w:pPr>
        <w:rPr>
          <w:i/>
          <w:iCs/>
          <w:lang w:val="fr-BE"/>
        </w:rPr>
      </w:pPr>
    </w:p>
    <w:p w14:paraId="3E995AE1" w14:textId="77777777" w:rsidR="000E6C6D" w:rsidRDefault="000E6C6D" w:rsidP="0090078C">
      <w:pPr>
        <w:rPr>
          <w:i/>
          <w:iCs/>
          <w:lang w:val="fr-BE"/>
        </w:rPr>
      </w:pPr>
    </w:p>
    <w:p w14:paraId="66ACEA9C" w14:textId="77777777" w:rsidR="000E6C6D" w:rsidRDefault="000E6C6D" w:rsidP="0090078C">
      <w:pPr>
        <w:rPr>
          <w:i/>
          <w:iCs/>
          <w:lang w:val="fr-BE"/>
        </w:rPr>
      </w:pPr>
    </w:p>
    <w:p w14:paraId="38B54DDC" w14:textId="77777777" w:rsidR="000E6C6D" w:rsidRDefault="000E6C6D" w:rsidP="0090078C">
      <w:pPr>
        <w:rPr>
          <w:i/>
          <w:iCs/>
          <w:lang w:val="fr-BE"/>
        </w:rPr>
      </w:pPr>
    </w:p>
    <w:p w14:paraId="1AC26F9E" w14:textId="77777777" w:rsidR="000E6C6D" w:rsidRDefault="000E6C6D" w:rsidP="0090078C">
      <w:pPr>
        <w:rPr>
          <w:i/>
          <w:iCs/>
          <w:lang w:val="fr-BE"/>
        </w:rPr>
      </w:pPr>
    </w:p>
    <w:p w14:paraId="4083048B" w14:textId="77777777" w:rsidR="000E6C6D" w:rsidRDefault="000E6C6D" w:rsidP="0090078C">
      <w:pPr>
        <w:rPr>
          <w:i/>
          <w:iCs/>
          <w:lang w:val="fr-BE"/>
        </w:rPr>
      </w:pPr>
    </w:p>
    <w:p w14:paraId="520A99C7" w14:textId="77777777" w:rsidR="000E6C6D" w:rsidRDefault="000E6C6D" w:rsidP="0090078C">
      <w:pPr>
        <w:rPr>
          <w:i/>
          <w:iCs/>
          <w:lang w:val="fr-BE"/>
        </w:rPr>
      </w:pPr>
    </w:p>
    <w:p w14:paraId="337885FD" w14:textId="77777777" w:rsidR="000E6C6D" w:rsidRDefault="000E6C6D" w:rsidP="0090078C">
      <w:pPr>
        <w:rPr>
          <w:i/>
          <w:iCs/>
          <w:lang w:val="fr-BE"/>
        </w:rPr>
      </w:pPr>
    </w:p>
    <w:p w14:paraId="252152A1" w14:textId="77777777" w:rsidR="000E6C6D" w:rsidRDefault="000E6C6D" w:rsidP="0090078C">
      <w:pPr>
        <w:rPr>
          <w:i/>
          <w:iCs/>
          <w:lang w:val="fr-BE"/>
        </w:rPr>
      </w:pPr>
    </w:p>
    <w:p w14:paraId="669AF064" w14:textId="77777777" w:rsidR="000E6C6D" w:rsidRDefault="000E6C6D" w:rsidP="0090078C">
      <w:pPr>
        <w:rPr>
          <w:i/>
          <w:iCs/>
          <w:lang w:val="fr-BE"/>
        </w:rPr>
      </w:pPr>
    </w:p>
    <w:p w14:paraId="18E366B9" w14:textId="4C80B6BE" w:rsidR="000E6C6D" w:rsidRPr="0090078C" w:rsidRDefault="000E6C6D" w:rsidP="0090078C">
      <w:pPr>
        <w:rPr>
          <w:i/>
          <w:iCs/>
          <w:lang w:val="fr-BE"/>
        </w:rPr>
        <w:sectPr w:rsidR="000E6C6D" w:rsidRPr="0090078C" w:rsidSect="00416DCA">
          <w:footerReference w:type="default" r:id="rId21"/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6BED5C1" w14:textId="77777777" w:rsidR="00942472" w:rsidRPr="00942472" w:rsidRDefault="00942472" w:rsidP="00942472">
      <w:pPr>
        <w:rPr>
          <w:lang w:val="fr-BE"/>
        </w:rPr>
        <w:sectPr w:rsidR="00942472" w:rsidRPr="00942472" w:rsidSect="006514D1">
          <w:footerReference w:type="default" r:id="rId22"/>
          <w:type w:val="continuous"/>
          <w:pgSz w:w="15840" w:h="12240" w:orient="landscape" w:code="1"/>
          <w:pgMar w:top="1418" w:right="1418" w:bottom="1418" w:left="1418" w:header="709" w:footer="709" w:gutter="0"/>
          <w:cols w:space="708"/>
          <w:docGrid w:linePitch="360"/>
        </w:sectPr>
      </w:pPr>
    </w:p>
    <w:p w14:paraId="3DC62D58" w14:textId="1A4B5F73" w:rsidR="00851953" w:rsidRDefault="000E6C6D" w:rsidP="00851953">
      <w:pPr>
        <w:pStyle w:val="Titre2"/>
        <w:rPr>
          <w:lang w:val="fr-BE"/>
        </w:rPr>
      </w:pPr>
      <w:commentRangeStart w:id="0"/>
      <w:r>
        <w:rPr>
          <w:lang w:val="fr-BE"/>
        </w:rPr>
        <w:lastRenderedPageBreak/>
        <w:t>Exemples</w:t>
      </w:r>
      <w:commentRangeEnd w:id="0"/>
      <w:r w:rsidR="00C54DD3">
        <w:rPr>
          <w:rStyle w:val="Marquedecommentaire"/>
          <w:caps w:val="0"/>
          <w:spacing w:val="0"/>
        </w:rPr>
        <w:commentReference w:id="0"/>
      </w:r>
    </w:p>
    <w:p w14:paraId="313CEE3B" w14:textId="21BFE54B" w:rsidR="00851953" w:rsidRPr="00851953" w:rsidRDefault="00851953" w:rsidP="00851953">
      <w:pPr>
        <w:pStyle w:val="Titre3"/>
        <w:rPr>
          <w:b/>
          <w:bCs/>
          <w:lang w:val="fr-BE"/>
        </w:rPr>
      </w:pPr>
      <w:r w:rsidRPr="00851953">
        <w:rPr>
          <w:b/>
          <w:bCs/>
          <w:lang w:val="fr-BE"/>
        </w:rPr>
        <w:t>Projets FEDER/FTJ</w:t>
      </w:r>
    </w:p>
    <w:p w14:paraId="36DF0D1A" w14:textId="77807834" w:rsidR="00050590" w:rsidRPr="00851953" w:rsidRDefault="00EA6623" w:rsidP="00851953">
      <w:pPr>
        <w:pStyle w:val="Titre4"/>
        <w:rPr>
          <w:i/>
          <w:iCs/>
          <w:lang w:val="fr-BE"/>
        </w:rPr>
      </w:pPr>
      <w:r w:rsidRPr="00851953">
        <w:rPr>
          <w:i/>
          <w:iCs/>
          <w:lang w:val="fr-BE"/>
        </w:rPr>
        <w:t xml:space="preserve">Exemple 1 </w:t>
      </w:r>
      <w:r w:rsidR="00D56444" w:rsidRPr="00851953">
        <w:rPr>
          <w:i/>
          <w:iCs/>
          <w:lang w:val="fr-BE"/>
        </w:rPr>
        <w:t xml:space="preserve">– Projet de recherche </w:t>
      </w:r>
      <w:r w:rsidR="00851953" w:rsidRPr="00851953">
        <w:rPr>
          <w:i/>
          <w:iCs/>
          <w:lang w:val="fr-BE"/>
        </w:rPr>
        <w:t>(</w:t>
      </w:r>
      <w:r w:rsidR="00D56444" w:rsidRPr="00851953">
        <w:rPr>
          <w:i/>
          <w:iCs/>
          <w:lang w:val="fr-BE"/>
        </w:rPr>
        <w:t>frais de recherche = 40% des frais de personnel)</w:t>
      </w:r>
    </w:p>
    <w:p w14:paraId="1B3E1213" w14:textId="29DA8992" w:rsidR="008F160A" w:rsidRDefault="00450734" w:rsidP="004E281F">
      <w:pPr>
        <w:jc w:val="both"/>
        <w:rPr>
          <w:lang w:val="fr-BE"/>
        </w:rPr>
      </w:pPr>
      <w:r>
        <w:rPr>
          <w:lang w:val="fr-BE"/>
        </w:rPr>
        <w:t>L</w:t>
      </w:r>
      <w:r w:rsidR="00C34093">
        <w:rPr>
          <w:lang w:val="fr-BE"/>
        </w:rPr>
        <w:t>e matériel de laboratoire (matériel réutilisable, non jetable) et les instruments de laboratoire</w:t>
      </w:r>
      <w:r w:rsidR="008F160A">
        <w:rPr>
          <w:lang w:val="fr-BE"/>
        </w:rPr>
        <w:t xml:space="preserve"> spécifiquement utilisés pour le projet</w:t>
      </w:r>
      <w:r w:rsidR="00C34093">
        <w:rPr>
          <w:lang w:val="fr-BE"/>
        </w:rPr>
        <w:t xml:space="preserve"> </w:t>
      </w:r>
      <w:r w:rsidR="00B05221">
        <w:rPr>
          <w:lang w:val="fr-BE"/>
        </w:rPr>
        <w:t>font partie des coûts considérés comme directs. Dans le cas où je suis un pouvoir adjudicateur et q</w:t>
      </w:r>
      <w:r w:rsidR="00D70DCB">
        <w:rPr>
          <w:lang w:val="fr-BE"/>
        </w:rPr>
        <w:t xml:space="preserve">ue j’ai passé des marchés publics </w:t>
      </w:r>
      <w:r w:rsidR="000A1E0A">
        <w:rPr>
          <w:lang w:val="fr-BE"/>
        </w:rPr>
        <w:t xml:space="preserve">supérieurs aux seuils européens </w:t>
      </w:r>
      <w:r w:rsidR="00CD1A4F" w:rsidRPr="005155FD">
        <w:rPr>
          <w:b/>
          <w:bCs/>
          <w:lang w:val="fr-BE"/>
        </w:rPr>
        <w:t>spécifiquement dans le cadre du projet FEDE</w:t>
      </w:r>
      <w:r w:rsidR="00CD1A4F">
        <w:rPr>
          <w:b/>
          <w:bCs/>
          <w:lang w:val="fr-BE"/>
        </w:rPr>
        <w:t>R</w:t>
      </w:r>
      <w:r w:rsidR="00CD1A4F">
        <w:rPr>
          <w:lang w:val="fr-BE"/>
        </w:rPr>
        <w:t xml:space="preserve"> et </w:t>
      </w:r>
      <w:r w:rsidR="00D70DCB">
        <w:rPr>
          <w:lang w:val="fr-BE"/>
        </w:rPr>
        <w:t xml:space="preserve">supérieurs aux seuils européens pour me procurer </w:t>
      </w:r>
      <w:r w:rsidR="00E20824">
        <w:rPr>
          <w:lang w:val="fr-BE"/>
        </w:rPr>
        <w:t>du matériel ou des instruments de laboratoire</w:t>
      </w:r>
      <w:r w:rsidR="00D31DCF">
        <w:rPr>
          <w:lang w:val="fr-BE"/>
        </w:rPr>
        <w:t xml:space="preserve"> destiné à répondre aux besoins du projet</w:t>
      </w:r>
      <w:r w:rsidR="00E20824">
        <w:rPr>
          <w:lang w:val="fr-BE"/>
        </w:rPr>
        <w:t xml:space="preserve">, les données de ces marchés doivent faire l’objet d’un encodage dans Calista. </w:t>
      </w:r>
    </w:p>
    <w:p w14:paraId="4AF8BAEC" w14:textId="64C19B38" w:rsidR="00E20824" w:rsidRDefault="00D80E47" w:rsidP="004E281F">
      <w:pPr>
        <w:jc w:val="both"/>
        <w:rPr>
          <w:lang w:val="fr-BE"/>
        </w:rPr>
      </w:pPr>
      <w:r>
        <w:rPr>
          <w:lang w:val="fr-BE"/>
        </w:rPr>
        <w:t>A contrario, les consommables de laboratoire</w:t>
      </w:r>
      <w:r w:rsidR="00242CB8">
        <w:rPr>
          <w:lang w:val="fr-BE"/>
        </w:rPr>
        <w:t xml:space="preserve"> tels que les </w:t>
      </w:r>
      <w:r w:rsidR="00A41325">
        <w:rPr>
          <w:lang w:val="fr-BE"/>
        </w:rPr>
        <w:t xml:space="preserve">gants, masques, pipettes, réactifs chimiques </w:t>
      </w:r>
      <w:proofErr w:type="spellStart"/>
      <w:r w:rsidR="00A41325">
        <w:rPr>
          <w:lang w:val="fr-BE"/>
        </w:rPr>
        <w:t>etc</w:t>
      </w:r>
      <w:proofErr w:type="spellEnd"/>
      <w:r>
        <w:rPr>
          <w:lang w:val="fr-BE"/>
        </w:rPr>
        <w:t xml:space="preserve"> (</w:t>
      </w:r>
      <w:r w:rsidR="00AE25F3">
        <w:rPr>
          <w:lang w:val="fr-BE"/>
        </w:rPr>
        <w:t xml:space="preserve">consommés ou jetés après usage) ne sont </w:t>
      </w:r>
      <w:r w:rsidR="002E7DB4">
        <w:rPr>
          <w:lang w:val="fr-BE"/>
        </w:rPr>
        <w:t xml:space="preserve">pas </w:t>
      </w:r>
      <w:r w:rsidR="00AE25F3">
        <w:rPr>
          <w:lang w:val="fr-BE"/>
        </w:rPr>
        <w:t>considérés comme des coûts directs</w:t>
      </w:r>
      <w:r w:rsidR="00901FB8">
        <w:rPr>
          <w:lang w:val="fr-BE"/>
        </w:rPr>
        <w:t xml:space="preserve">. Les données de marchés publics liés à ces coûts </w:t>
      </w:r>
      <w:r w:rsidR="00CE35EE">
        <w:rPr>
          <w:lang w:val="fr-BE"/>
        </w:rPr>
        <w:t xml:space="preserve">ne doivent dès lors pas faire l’objet d’un encodage dans Calista. </w:t>
      </w:r>
    </w:p>
    <w:p w14:paraId="3868681E" w14:textId="16905802" w:rsidR="003A3BAD" w:rsidRPr="00851953" w:rsidRDefault="003A3BAD" w:rsidP="000E6C6D">
      <w:pPr>
        <w:pStyle w:val="Titre3"/>
        <w:rPr>
          <w:i/>
          <w:iCs/>
          <w:lang w:val="fr-BE"/>
        </w:rPr>
      </w:pPr>
      <w:r w:rsidRPr="00851953">
        <w:rPr>
          <w:i/>
          <w:iCs/>
          <w:lang w:val="fr-BE"/>
        </w:rPr>
        <w:t xml:space="preserve">Exemple </w:t>
      </w:r>
      <w:r w:rsidR="00FB5812" w:rsidRPr="00851953">
        <w:rPr>
          <w:i/>
          <w:iCs/>
          <w:lang w:val="fr-BE"/>
        </w:rPr>
        <w:t>2</w:t>
      </w:r>
      <w:r w:rsidRPr="00851953">
        <w:rPr>
          <w:i/>
          <w:iCs/>
          <w:lang w:val="fr-BE"/>
        </w:rPr>
        <w:t xml:space="preserve"> – Projet </w:t>
      </w:r>
      <w:r w:rsidR="00B505A9" w:rsidRPr="00851953">
        <w:rPr>
          <w:i/>
          <w:iCs/>
          <w:lang w:val="fr-BE"/>
        </w:rPr>
        <w:t xml:space="preserve">d’animation économique (coûts unitaires par livrable) </w:t>
      </w:r>
    </w:p>
    <w:p w14:paraId="0A6F7C48" w14:textId="2F164B74" w:rsidR="00AD4CA9" w:rsidRDefault="0088051D" w:rsidP="003A3BAD">
      <w:pPr>
        <w:jc w:val="both"/>
        <w:rPr>
          <w:lang w:val="fr-BE"/>
        </w:rPr>
      </w:pPr>
      <w:r>
        <w:rPr>
          <w:lang w:val="fr-BE"/>
        </w:rPr>
        <w:t xml:space="preserve">Dans le cadre d’un projet d’animation économique, </w:t>
      </w:r>
      <w:r w:rsidR="00294CFE">
        <w:rPr>
          <w:lang w:val="fr-BE"/>
        </w:rPr>
        <w:t>je passe</w:t>
      </w:r>
      <w:r w:rsidR="007D397D">
        <w:rPr>
          <w:lang w:val="fr-BE"/>
        </w:rPr>
        <w:t xml:space="preserve"> un marché public de communication et de promotion de mes activités</w:t>
      </w:r>
      <w:r w:rsidR="002A09D4">
        <w:rPr>
          <w:lang w:val="fr-BE"/>
        </w:rPr>
        <w:t xml:space="preserve">. </w:t>
      </w:r>
      <w:r w:rsidR="00FE3575">
        <w:rPr>
          <w:lang w:val="fr-BE"/>
        </w:rPr>
        <w:t>Dans le cas où je suis pouvoir adjudicateur et que ce marché</w:t>
      </w:r>
      <w:r w:rsidR="002A09D4">
        <w:rPr>
          <w:lang w:val="fr-BE"/>
        </w:rPr>
        <w:t xml:space="preserve"> </w:t>
      </w:r>
      <w:r w:rsidR="00FE3575">
        <w:rPr>
          <w:lang w:val="fr-BE"/>
        </w:rPr>
        <w:t xml:space="preserve">dépasse les seuils européens, les données de </w:t>
      </w:r>
      <w:r w:rsidR="002A09D4">
        <w:rPr>
          <w:lang w:val="fr-BE"/>
        </w:rPr>
        <w:t xml:space="preserve">celui-ci </w:t>
      </w:r>
      <w:r w:rsidR="00FE3575">
        <w:rPr>
          <w:lang w:val="fr-BE"/>
        </w:rPr>
        <w:t xml:space="preserve">doivent faire l’objet d’un encodage dans Calista. </w:t>
      </w:r>
    </w:p>
    <w:p w14:paraId="194C3A89" w14:textId="4B87870F" w:rsidR="00B505A9" w:rsidRDefault="00AD4CA9" w:rsidP="003A3BAD">
      <w:pPr>
        <w:jc w:val="both"/>
        <w:rPr>
          <w:lang w:val="fr-BE"/>
        </w:rPr>
      </w:pPr>
      <w:r>
        <w:rPr>
          <w:lang w:val="fr-BE"/>
        </w:rPr>
        <w:t xml:space="preserve">A contrario, si je passe un marché public </w:t>
      </w:r>
      <w:r w:rsidR="000D0905">
        <w:rPr>
          <w:lang w:val="fr-BE"/>
        </w:rPr>
        <w:t>pour l’entretien de mes locaux</w:t>
      </w:r>
      <w:r w:rsidR="00A14689">
        <w:rPr>
          <w:lang w:val="fr-BE"/>
        </w:rPr>
        <w:t xml:space="preserve">, celui-ci ne devra pas faire l’objet d’un encodage dans Calista. </w:t>
      </w:r>
    </w:p>
    <w:p w14:paraId="134AC792" w14:textId="1F710B4D" w:rsidR="00851953" w:rsidRPr="00851953" w:rsidRDefault="00851953" w:rsidP="00851953">
      <w:pPr>
        <w:pStyle w:val="Titre3"/>
        <w:rPr>
          <w:b/>
          <w:bCs/>
          <w:lang w:val="fr-BE"/>
        </w:rPr>
      </w:pPr>
      <w:r>
        <w:rPr>
          <w:b/>
          <w:bCs/>
          <w:lang w:val="fr-BE"/>
        </w:rPr>
        <w:t>PROJETS PNRR</w:t>
      </w:r>
    </w:p>
    <w:p w14:paraId="646C7207" w14:textId="3CA018A0" w:rsidR="00FB5812" w:rsidRPr="00851953" w:rsidRDefault="00FB5812" w:rsidP="00851953">
      <w:pPr>
        <w:pStyle w:val="Titre4"/>
        <w:rPr>
          <w:i/>
          <w:iCs/>
          <w:lang w:val="fr-BE"/>
        </w:rPr>
      </w:pPr>
      <w:r w:rsidRPr="00851953">
        <w:rPr>
          <w:i/>
          <w:iCs/>
          <w:lang w:val="fr-BE"/>
        </w:rPr>
        <w:t xml:space="preserve">Exemple 3 - Projet dont le budget comprend des taux forfaitaires ou des coûts unitaires </w:t>
      </w:r>
    </w:p>
    <w:p w14:paraId="2F5F698F" w14:textId="77777777" w:rsidR="00FB5812" w:rsidRPr="0000744E" w:rsidRDefault="00FB5812" w:rsidP="00FB5812">
      <w:pPr>
        <w:jc w:val="both"/>
        <w:rPr>
          <w:lang w:val="fr-BE"/>
        </w:rPr>
      </w:pPr>
      <w:r w:rsidRPr="0000744E">
        <w:rPr>
          <w:lang w:val="fr-BE"/>
        </w:rPr>
        <w:t xml:space="preserve">Dans le cas où je suis pouvoir adjudicateur, les données de tous les marchés publics destinés à couvrir des coûts qui sous-tendent les coûts simplifiés, qu’ils soient directs ou indirects tels que définis dans le tableau ci-dessus doivent faire l’objet d’un encodage dans Calista. </w:t>
      </w:r>
    </w:p>
    <w:p w14:paraId="5181321D" w14:textId="54496E63" w:rsidR="00FB5812" w:rsidRDefault="00FB5812" w:rsidP="003A3BAD">
      <w:pPr>
        <w:jc w:val="both"/>
        <w:rPr>
          <w:lang w:val="fr-BE"/>
        </w:rPr>
      </w:pPr>
      <w:r w:rsidRPr="0000744E">
        <w:rPr>
          <w:lang w:val="fr-BE"/>
        </w:rPr>
        <w:t>Pour exemple, si dans le cadre de mon projet, j’acquiers du mobilier de bureau, les données du marché public y relatif devront faire l’objet d’un encodage dans Calista. A contrario, si mon institution fait l’acquisition d’une licence informatique standard, les données relatives à ce marché public ne doivent pas être encodées dans Calista dans la mesure où elles ne font pas partie des coûts repris dans les règles d’éligibilité.</w:t>
      </w:r>
    </w:p>
    <w:p w14:paraId="17DF49F8" w14:textId="60C5CAFA" w:rsidR="001F2463" w:rsidRPr="00851953" w:rsidRDefault="00CA692E" w:rsidP="00851953">
      <w:pPr>
        <w:pStyle w:val="Titre4"/>
        <w:rPr>
          <w:i/>
          <w:iCs/>
          <w:lang w:val="fr-BE"/>
        </w:rPr>
      </w:pPr>
      <w:r w:rsidRPr="00851953">
        <w:rPr>
          <w:i/>
          <w:iCs/>
          <w:lang w:val="fr-BE"/>
        </w:rPr>
        <w:t xml:space="preserve">Exemple 4 – Projet </w:t>
      </w:r>
      <w:r w:rsidR="007B5A81" w:rsidRPr="00851953">
        <w:rPr>
          <w:i/>
          <w:iCs/>
          <w:lang w:val="fr-BE"/>
        </w:rPr>
        <w:t xml:space="preserve">de recherche (taux forfaitaire de 25%) </w:t>
      </w:r>
    </w:p>
    <w:p w14:paraId="03F5AF25" w14:textId="77777777" w:rsidR="00512579" w:rsidRDefault="000478AB" w:rsidP="003A3BAD">
      <w:pPr>
        <w:jc w:val="both"/>
        <w:rPr>
          <w:lang w:val="fr-BE"/>
        </w:rPr>
      </w:pPr>
      <w:r>
        <w:rPr>
          <w:lang w:val="fr-BE"/>
        </w:rPr>
        <w:t xml:space="preserve">Dans le cas où je suis pouvoir adjudicateur, les </w:t>
      </w:r>
      <w:r w:rsidR="00E50A39">
        <w:rPr>
          <w:lang w:val="fr-BE"/>
        </w:rPr>
        <w:t>données des marchés</w:t>
      </w:r>
      <w:r>
        <w:rPr>
          <w:lang w:val="fr-BE"/>
        </w:rPr>
        <w:t xml:space="preserve"> publics passés afin de couvrir les coûts directs de mon projet (repris dans le tableau ci-dessus) </w:t>
      </w:r>
      <w:r w:rsidR="00E50A39">
        <w:rPr>
          <w:lang w:val="fr-BE"/>
        </w:rPr>
        <w:t xml:space="preserve">dont les montants dépassent les seuils européens </w:t>
      </w:r>
      <w:r w:rsidR="00F74514">
        <w:rPr>
          <w:lang w:val="fr-BE"/>
        </w:rPr>
        <w:t>doivent faire l’objet d’un encodage dans Calista.</w:t>
      </w:r>
      <w:r w:rsidR="00EB5C53">
        <w:rPr>
          <w:lang w:val="fr-BE"/>
        </w:rPr>
        <w:t xml:space="preserve"> </w:t>
      </w:r>
    </w:p>
    <w:p w14:paraId="5BB2821F" w14:textId="5C3A27DE" w:rsidR="000478AB" w:rsidRDefault="00EB5C53" w:rsidP="003A3BAD">
      <w:pPr>
        <w:jc w:val="both"/>
        <w:rPr>
          <w:lang w:val="fr-BE"/>
        </w:rPr>
      </w:pPr>
      <w:r>
        <w:rPr>
          <w:lang w:val="fr-BE"/>
        </w:rPr>
        <w:t xml:space="preserve">Pour exemple, un marché public servant à couvrir les frais d’acquisition de matériel de laboratoire </w:t>
      </w:r>
      <w:r w:rsidR="00512579">
        <w:rPr>
          <w:lang w:val="fr-BE"/>
        </w:rPr>
        <w:t>et dont le montant dépasserait les seuils européens d</w:t>
      </w:r>
      <w:r w:rsidR="00723E8F">
        <w:rPr>
          <w:lang w:val="fr-BE"/>
        </w:rPr>
        <w:t>oi</w:t>
      </w:r>
      <w:r w:rsidR="00512579">
        <w:rPr>
          <w:lang w:val="fr-BE"/>
        </w:rPr>
        <w:t xml:space="preserve">t faire l’objet d’un encodage dans Calista. </w:t>
      </w:r>
    </w:p>
    <w:p w14:paraId="76805E43" w14:textId="623D4D3C" w:rsidR="00512579" w:rsidRDefault="00512579" w:rsidP="003A3BAD">
      <w:pPr>
        <w:jc w:val="both"/>
        <w:rPr>
          <w:lang w:val="fr-BE"/>
        </w:rPr>
      </w:pPr>
      <w:r>
        <w:rPr>
          <w:lang w:val="fr-BE"/>
        </w:rPr>
        <w:lastRenderedPageBreak/>
        <w:t xml:space="preserve">A contrario, </w:t>
      </w:r>
      <w:r w:rsidR="0085286F">
        <w:rPr>
          <w:lang w:val="fr-BE"/>
        </w:rPr>
        <w:t xml:space="preserve">les consommables de laboratoire tels que les gants, masques, pipettes, réactifs chimiques </w:t>
      </w:r>
      <w:proofErr w:type="spellStart"/>
      <w:r w:rsidR="0085286F">
        <w:rPr>
          <w:lang w:val="fr-BE"/>
        </w:rPr>
        <w:t>etc</w:t>
      </w:r>
      <w:proofErr w:type="spellEnd"/>
      <w:r w:rsidR="0085286F">
        <w:rPr>
          <w:lang w:val="fr-BE"/>
        </w:rPr>
        <w:t xml:space="preserve"> (consommés ou jetés après usage) ne sont pas considérés comme des coûts directs. Les données de marchés publics liés à ces coûts ne doivent dès lors pas faire l’objet d’un encodage dans Calista.</w:t>
      </w:r>
    </w:p>
    <w:p w14:paraId="6BEE0DC8" w14:textId="7BA60C2A" w:rsidR="00352E18" w:rsidRDefault="005D3162" w:rsidP="007D1D96">
      <w:pPr>
        <w:jc w:val="both"/>
        <w:rPr>
          <w:lang w:val="fr-BE"/>
        </w:rPr>
      </w:pPr>
      <w:r w:rsidRPr="2579B115">
        <w:rPr>
          <w:lang w:val="fr-BE"/>
        </w:rPr>
        <w:t xml:space="preserve">Il est à noter que dans l’éventualité où les mêmes marchés viseraient à couvrir les deux types de coûts, il est évident </w:t>
      </w:r>
      <w:r w:rsidR="383E246A" w:rsidRPr="2579B115">
        <w:rPr>
          <w:lang w:val="fr-BE"/>
        </w:rPr>
        <w:t xml:space="preserve">que </w:t>
      </w:r>
      <w:r w:rsidRPr="2579B115">
        <w:rPr>
          <w:lang w:val="fr-BE"/>
        </w:rPr>
        <w:t xml:space="preserve">les données de ceux-ci devront faire l’objet d’un encodage dans Calista. </w:t>
      </w:r>
    </w:p>
    <w:p w14:paraId="535577DE" w14:textId="77777777" w:rsidR="00ED45BC" w:rsidRDefault="00ED45BC" w:rsidP="007D1D96">
      <w:pPr>
        <w:jc w:val="both"/>
        <w:rPr>
          <w:lang w:val="fr-BE"/>
        </w:rPr>
      </w:pPr>
    </w:p>
    <w:p w14:paraId="2585E859" w14:textId="77777777" w:rsidR="00ED45BC" w:rsidRDefault="00ED45BC" w:rsidP="007D1D96">
      <w:pPr>
        <w:jc w:val="both"/>
        <w:rPr>
          <w:lang w:val="fr-BE"/>
        </w:rPr>
      </w:pPr>
    </w:p>
    <w:p w14:paraId="3EE5FB64" w14:textId="77777777" w:rsidR="00ED45BC" w:rsidRDefault="00ED45BC" w:rsidP="007D1D96">
      <w:pPr>
        <w:jc w:val="both"/>
        <w:rPr>
          <w:lang w:val="fr-BE"/>
        </w:rPr>
      </w:pPr>
    </w:p>
    <w:p w14:paraId="09EE9C1D" w14:textId="77777777" w:rsidR="00ED45BC" w:rsidRDefault="00ED45BC" w:rsidP="007D1D96">
      <w:pPr>
        <w:jc w:val="both"/>
        <w:rPr>
          <w:lang w:val="fr-BE"/>
        </w:rPr>
      </w:pPr>
    </w:p>
    <w:p w14:paraId="50F8835B" w14:textId="77777777" w:rsidR="00ED45BC" w:rsidRDefault="00ED45BC" w:rsidP="007D1D96">
      <w:pPr>
        <w:jc w:val="both"/>
        <w:rPr>
          <w:lang w:val="fr-BE"/>
        </w:rPr>
      </w:pPr>
    </w:p>
    <w:p w14:paraId="2DBB3152" w14:textId="77777777" w:rsidR="00ED45BC" w:rsidRDefault="00ED45BC" w:rsidP="007D1D96">
      <w:pPr>
        <w:jc w:val="both"/>
        <w:rPr>
          <w:lang w:val="fr-BE"/>
        </w:rPr>
      </w:pPr>
    </w:p>
    <w:p w14:paraId="54AE2F8D" w14:textId="77777777" w:rsidR="00ED45BC" w:rsidRDefault="00ED45BC" w:rsidP="007D1D96">
      <w:pPr>
        <w:jc w:val="both"/>
        <w:rPr>
          <w:lang w:val="fr-BE"/>
        </w:rPr>
      </w:pPr>
    </w:p>
    <w:p w14:paraId="2C1BCB0A" w14:textId="77777777" w:rsidR="00ED45BC" w:rsidRDefault="00ED45BC" w:rsidP="007D1D96">
      <w:pPr>
        <w:jc w:val="both"/>
        <w:rPr>
          <w:lang w:val="fr-BE"/>
        </w:rPr>
      </w:pPr>
    </w:p>
    <w:p w14:paraId="2A31832B" w14:textId="77777777" w:rsidR="00ED45BC" w:rsidRDefault="00ED45BC" w:rsidP="007D1D96">
      <w:pPr>
        <w:jc w:val="both"/>
        <w:rPr>
          <w:lang w:val="fr-BE"/>
        </w:rPr>
      </w:pPr>
    </w:p>
    <w:p w14:paraId="37333910" w14:textId="77777777" w:rsidR="00ED45BC" w:rsidRDefault="00ED45BC" w:rsidP="007D1D96">
      <w:pPr>
        <w:jc w:val="both"/>
        <w:rPr>
          <w:lang w:val="fr-BE"/>
        </w:rPr>
      </w:pPr>
    </w:p>
    <w:p w14:paraId="5E8AE80D" w14:textId="77777777" w:rsidR="00ED45BC" w:rsidRDefault="00ED45BC" w:rsidP="007D1D96">
      <w:pPr>
        <w:jc w:val="both"/>
        <w:rPr>
          <w:lang w:val="fr-BE"/>
        </w:rPr>
      </w:pPr>
    </w:p>
    <w:p w14:paraId="03D79655" w14:textId="77777777" w:rsidR="00ED45BC" w:rsidRDefault="00ED45BC" w:rsidP="007D1D96">
      <w:pPr>
        <w:jc w:val="both"/>
        <w:rPr>
          <w:lang w:val="fr-BE"/>
        </w:rPr>
      </w:pPr>
    </w:p>
    <w:p w14:paraId="5006C13C" w14:textId="77777777" w:rsidR="00ED45BC" w:rsidRDefault="00ED45BC" w:rsidP="007D1D96">
      <w:pPr>
        <w:jc w:val="both"/>
        <w:rPr>
          <w:lang w:val="fr-BE"/>
        </w:rPr>
      </w:pPr>
    </w:p>
    <w:p w14:paraId="7EF1838E" w14:textId="77777777" w:rsidR="00ED45BC" w:rsidRDefault="00ED45BC" w:rsidP="007D1D96">
      <w:pPr>
        <w:jc w:val="both"/>
        <w:rPr>
          <w:lang w:val="fr-BE"/>
        </w:rPr>
      </w:pPr>
    </w:p>
    <w:p w14:paraId="45C742F4" w14:textId="77777777" w:rsidR="00ED45BC" w:rsidRDefault="00ED45BC" w:rsidP="007D1D96">
      <w:pPr>
        <w:jc w:val="both"/>
        <w:rPr>
          <w:lang w:val="fr-BE"/>
        </w:rPr>
      </w:pPr>
    </w:p>
    <w:p w14:paraId="725DD27C" w14:textId="77777777" w:rsidR="00ED45BC" w:rsidRDefault="00ED45BC" w:rsidP="007D1D96">
      <w:pPr>
        <w:jc w:val="both"/>
        <w:rPr>
          <w:lang w:val="fr-BE"/>
        </w:rPr>
      </w:pPr>
    </w:p>
    <w:p w14:paraId="637B4AC2" w14:textId="77777777" w:rsidR="00ED45BC" w:rsidRDefault="00ED45BC" w:rsidP="007D1D96">
      <w:pPr>
        <w:jc w:val="both"/>
        <w:rPr>
          <w:lang w:val="fr-BE"/>
        </w:rPr>
      </w:pPr>
    </w:p>
    <w:p w14:paraId="09EA69AE" w14:textId="77777777" w:rsidR="00ED45BC" w:rsidRDefault="00ED45BC" w:rsidP="007D1D96">
      <w:pPr>
        <w:jc w:val="both"/>
        <w:rPr>
          <w:lang w:val="fr-BE"/>
        </w:rPr>
      </w:pPr>
    </w:p>
    <w:p w14:paraId="6815FD69" w14:textId="77777777" w:rsidR="00ED45BC" w:rsidRDefault="00ED45BC" w:rsidP="007D1D96">
      <w:pPr>
        <w:jc w:val="both"/>
        <w:rPr>
          <w:lang w:val="fr-BE"/>
        </w:rPr>
      </w:pPr>
    </w:p>
    <w:p w14:paraId="6E545D6D" w14:textId="77777777" w:rsidR="00ED45BC" w:rsidRDefault="00ED45BC" w:rsidP="007D1D96">
      <w:pPr>
        <w:jc w:val="both"/>
        <w:rPr>
          <w:lang w:val="fr-BE"/>
        </w:rPr>
      </w:pPr>
    </w:p>
    <w:p w14:paraId="1888D08E" w14:textId="77777777" w:rsidR="00ED45BC" w:rsidRDefault="00ED45BC" w:rsidP="007D1D96">
      <w:pPr>
        <w:jc w:val="both"/>
        <w:rPr>
          <w:lang w:val="fr-BE"/>
        </w:rPr>
      </w:pPr>
    </w:p>
    <w:p w14:paraId="76CA14CD" w14:textId="77777777" w:rsidR="00ED45BC" w:rsidRDefault="00ED45BC" w:rsidP="007D1D96">
      <w:pPr>
        <w:jc w:val="both"/>
        <w:rPr>
          <w:lang w:val="fr-BE"/>
        </w:rPr>
      </w:pPr>
    </w:p>
    <w:p w14:paraId="566D85B3" w14:textId="77777777" w:rsidR="00ED45BC" w:rsidRDefault="00ED45BC" w:rsidP="007D1D96">
      <w:pPr>
        <w:jc w:val="both"/>
        <w:rPr>
          <w:lang w:val="fr-BE"/>
        </w:rPr>
      </w:pPr>
    </w:p>
    <w:p w14:paraId="5CFC19B4" w14:textId="4407F7A0" w:rsidR="00A17B45" w:rsidRPr="0065296A" w:rsidRDefault="00ED45BC" w:rsidP="0065296A">
      <w:pPr>
        <w:pStyle w:val="Titre2"/>
        <w:rPr>
          <w:lang w:val="fr-BE"/>
        </w:rPr>
      </w:pPr>
      <w:r>
        <w:rPr>
          <w:lang w:val="fr-BE"/>
        </w:rPr>
        <w:lastRenderedPageBreak/>
        <w:t>Ressources</w:t>
      </w:r>
    </w:p>
    <w:p w14:paraId="7DC154DD" w14:textId="64ACB9B6" w:rsidR="00ED45BC" w:rsidRDefault="006900DF" w:rsidP="006900DF">
      <w:pPr>
        <w:pStyle w:val="Paragraphedeliste"/>
        <w:numPr>
          <w:ilvl w:val="0"/>
          <w:numId w:val="15"/>
        </w:numPr>
        <w:rPr>
          <w:lang w:val="fr-BE"/>
        </w:rPr>
      </w:pPr>
      <w:r>
        <w:rPr>
          <w:lang w:val="fr-BE"/>
        </w:rPr>
        <w:t>Fiche rapide</w:t>
      </w:r>
      <w:r w:rsidR="00AD636F" w:rsidRPr="00AD636F">
        <w:rPr>
          <w:lang w:val="fr-BE"/>
        </w:rPr>
        <w:t xml:space="preserve"> </w:t>
      </w:r>
      <w:hyperlink r:id="rId27" w:history="1">
        <w:r w:rsidR="00AD636F">
          <w:rPr>
            <w:rStyle w:val="Lienhypertexte"/>
            <w:lang w:val="fr-BE"/>
          </w:rPr>
          <w:t>"Gestion des marchés publics"</w:t>
        </w:r>
      </w:hyperlink>
    </w:p>
    <w:p w14:paraId="5440E7DE" w14:textId="0DF6B8E7" w:rsidR="006900DF" w:rsidRPr="006900DF" w:rsidRDefault="00325DAA" w:rsidP="006900DF">
      <w:pPr>
        <w:pStyle w:val="Paragraphedeliste"/>
        <w:numPr>
          <w:ilvl w:val="0"/>
          <w:numId w:val="15"/>
        </w:numPr>
        <w:rPr>
          <w:lang w:val="fr-BE"/>
        </w:rPr>
      </w:pPr>
      <w:r>
        <w:rPr>
          <w:lang w:val="fr-BE"/>
        </w:rPr>
        <w:t>FAQ SPF Finances</w:t>
      </w:r>
      <w:r w:rsidR="002134DD">
        <w:rPr>
          <w:lang w:val="fr-BE"/>
        </w:rPr>
        <w:t xml:space="preserve"> : </w:t>
      </w:r>
      <w:hyperlink r:id="rId28" w:history="1">
        <w:r w:rsidR="00590AE6" w:rsidRPr="00590AE6">
          <w:rPr>
            <w:rStyle w:val="Lienhypertexte"/>
          </w:rPr>
          <w:t>20250220_FAQ_UBO_FR_0.pdf</w:t>
        </w:r>
      </w:hyperlink>
      <w:r w:rsidR="00590AE6">
        <w:rPr>
          <w:lang w:val="fr-BE"/>
        </w:rPr>
        <w:t xml:space="preserve"> </w:t>
      </w:r>
    </w:p>
    <w:sectPr w:rsidR="006900DF" w:rsidRPr="006900DF">
      <w:footerReference w:type="default" r:id="rId2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RES Nico" w:date="2025-06-27T14:47:00Z" w:initials="NM">
    <w:p w14:paraId="2AE5078E" w14:textId="77777777" w:rsidR="00C54DD3" w:rsidRDefault="00C54DD3" w:rsidP="00C54DD3">
      <w:pPr>
        <w:pStyle w:val="Commentaire"/>
      </w:pPr>
      <w:r>
        <w:rPr>
          <w:rStyle w:val="Marquedecommentaire"/>
        </w:rPr>
        <w:annotationRef/>
      </w:r>
      <w:r>
        <w:rPr>
          <w:color w:val="424242"/>
          <w:highlight w:val="white"/>
        </w:rPr>
        <w:t>Peut-être serait-il préférable d’inverser les exemples 2 et 3 afin de regrouper les exemples liés au FEDER en 1 et 2, et ceux liés au PNRR en 3 et 4 ?</w:t>
      </w:r>
      <w:r>
        <w:t xml:space="preserve"> et ajouter un sous-titre pour savoir directement dans quel programme on se trouve 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507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80C336" w16cex:dateUtc="2025-06-27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5078E" w16cid:durableId="3580C3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613F" w14:textId="77777777" w:rsidR="00237255" w:rsidRDefault="00237255" w:rsidP="00970B34">
      <w:pPr>
        <w:spacing w:after="0" w:line="240" w:lineRule="auto"/>
      </w:pPr>
      <w:r>
        <w:separator/>
      </w:r>
    </w:p>
  </w:endnote>
  <w:endnote w:type="continuationSeparator" w:id="0">
    <w:p w14:paraId="49E72803" w14:textId="77777777" w:rsidR="00237255" w:rsidRDefault="00237255" w:rsidP="00970B34">
      <w:pPr>
        <w:spacing w:after="0" w:line="240" w:lineRule="auto"/>
      </w:pPr>
      <w:r>
        <w:continuationSeparator/>
      </w:r>
    </w:p>
  </w:endnote>
  <w:endnote w:type="continuationNotice" w:id="1">
    <w:p w14:paraId="6DF7AFC7" w14:textId="77777777" w:rsidR="00237255" w:rsidRDefault="00237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2B6D" w14:textId="67621F6D" w:rsidR="007059DE" w:rsidRPr="003E4D86" w:rsidRDefault="00A83CAF">
    <w:pPr>
      <w:pStyle w:val="Pieddepage"/>
      <w:rPr>
        <w:i/>
        <w:iCs/>
        <w:lang w:val="fr-BE"/>
      </w:rPr>
    </w:pPr>
    <w:r>
      <w:rPr>
        <w:i/>
        <w:iCs/>
        <w:lang w:val="fr-BE"/>
      </w:rPr>
      <w:t>SPW SG-</w:t>
    </w:r>
    <w:r w:rsidR="00245CEE">
      <w:rPr>
        <w:i/>
        <w:iCs/>
        <w:lang w:val="fr-BE"/>
      </w:rPr>
      <w:t>DCPF-</w:t>
    </w:r>
    <w:r w:rsidR="008C310F">
      <w:rPr>
        <w:i/>
        <w:iCs/>
        <w:lang w:val="fr-BE"/>
      </w:rPr>
      <w:t>DSC</w:t>
    </w:r>
    <w:r w:rsidR="004B7047">
      <w:rPr>
        <w:i/>
        <w:iCs/>
        <w:lang w:val="fr-BE"/>
      </w:rPr>
      <w:t xml:space="preserve">   </w:t>
    </w:r>
    <w:r w:rsidR="008C29E7">
      <w:rPr>
        <w:i/>
        <w:iCs/>
        <w:lang w:val="fr-BE"/>
      </w:rPr>
      <w:t xml:space="preserve"> </w:t>
    </w:r>
    <w:r w:rsidR="004B7047">
      <w:rPr>
        <w:i/>
        <w:iCs/>
        <w:lang w:val="fr-BE"/>
      </w:rPr>
      <w:t xml:space="preserve">  </w:t>
    </w:r>
    <w:r w:rsidR="003E4D86" w:rsidRPr="003E4D86">
      <w:rPr>
        <w:i/>
        <w:iCs/>
        <w:lang w:val="fr-BE"/>
      </w:rPr>
      <w:t>Guidance pour la collecte des données liées aux contrats indirects</w:t>
    </w:r>
    <w:r w:rsidR="00161A6F">
      <w:rPr>
        <w:i/>
        <w:iCs/>
        <w:lang w:val="fr-BE"/>
      </w:rPr>
      <w:tab/>
    </w:r>
    <w:r w:rsidR="00E96850">
      <w:rPr>
        <w:i/>
        <w:iCs/>
        <w:lang w:val="fr-BE"/>
      </w:rPr>
      <w:t xml:space="preserve">    </w:t>
    </w:r>
    <w:r w:rsidR="008C29E7">
      <w:rPr>
        <w:i/>
        <w:iCs/>
        <w:lang w:val="fr-BE"/>
      </w:rPr>
      <w:t xml:space="preserve"> </w:t>
    </w:r>
    <w:r w:rsidR="00161A6F">
      <w:rPr>
        <w:i/>
        <w:iCs/>
        <w:lang w:val="fr-BE"/>
      </w:rPr>
      <w:t>23/06/2025</w:t>
    </w:r>
    <w:r w:rsidR="004B7047">
      <w:rPr>
        <w:i/>
        <w:iCs/>
        <w:lang w:val="fr-B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4021" w14:textId="25411533" w:rsidR="00942472" w:rsidRPr="003E4D86" w:rsidRDefault="00942472" w:rsidP="00942472">
    <w:pPr>
      <w:pStyle w:val="Pieddepage"/>
      <w:rPr>
        <w:i/>
        <w:iCs/>
        <w:lang w:val="fr-BE"/>
      </w:rPr>
    </w:pPr>
    <w:r>
      <w:rPr>
        <w:i/>
        <w:iCs/>
        <w:lang w:val="fr-BE"/>
      </w:rPr>
      <w:t xml:space="preserve">SPW SG-DCPF-DSC      </w:t>
    </w:r>
    <w:r w:rsidRPr="003E4D86">
      <w:rPr>
        <w:i/>
        <w:iCs/>
        <w:lang w:val="fr-BE"/>
      </w:rPr>
      <w:t>Guidance pour la collecte des données liées aux contrats indirects</w:t>
    </w:r>
    <w:r>
      <w:rPr>
        <w:i/>
        <w:iCs/>
        <w:lang w:val="fr-BE"/>
      </w:rPr>
      <w:tab/>
      <w:t xml:space="preserve">     23/06/2025</w:t>
    </w:r>
    <w:r>
      <w:rPr>
        <w:i/>
        <w:iCs/>
        <w:lang w:val="fr-BE"/>
      </w:rPr>
      <w:tab/>
    </w:r>
  </w:p>
  <w:p w14:paraId="13039AC7" w14:textId="2202E7DD" w:rsidR="00942472" w:rsidRPr="00942472" w:rsidRDefault="00942472" w:rsidP="00942472">
    <w:pPr>
      <w:pStyle w:val="Pieddepage"/>
      <w:tabs>
        <w:tab w:val="clear" w:pos="4536"/>
        <w:tab w:val="clear" w:pos="9072"/>
        <w:tab w:val="left" w:pos="1933"/>
      </w:tabs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DC51" w14:textId="430F84E8" w:rsidR="00942472" w:rsidRPr="003E4D86" w:rsidRDefault="00942472">
    <w:pPr>
      <w:pStyle w:val="Pieddepage"/>
      <w:rPr>
        <w:i/>
        <w:iCs/>
        <w:lang w:val="fr-BE"/>
      </w:rPr>
    </w:pPr>
    <w:r>
      <w:rPr>
        <w:i/>
        <w:iCs/>
        <w:lang w:val="fr-BE"/>
      </w:rPr>
      <w:t xml:space="preserve">SPW SG-DCPF-DSC      </w:t>
    </w:r>
    <w:r>
      <w:rPr>
        <w:i/>
        <w:iCs/>
        <w:lang w:val="fr-BE"/>
      </w:rPr>
      <w:tab/>
      <w:t xml:space="preserve">                                           </w:t>
    </w:r>
    <w:r w:rsidRPr="003E4D86">
      <w:rPr>
        <w:i/>
        <w:iCs/>
        <w:lang w:val="fr-BE"/>
      </w:rPr>
      <w:t>Guidance pour la collecte des données liées aux contrats indirects</w:t>
    </w:r>
    <w:r>
      <w:rPr>
        <w:i/>
        <w:iCs/>
        <w:lang w:val="fr-BE"/>
      </w:rPr>
      <w:tab/>
      <w:t xml:space="preserve">                                     23/06/2025</w:t>
    </w:r>
    <w:r>
      <w:rPr>
        <w:i/>
        <w:iCs/>
        <w:lang w:val="fr-BE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BFA0" w14:textId="6B4103C9" w:rsidR="00E96850" w:rsidRPr="003E4D86" w:rsidRDefault="00E96850">
    <w:pPr>
      <w:pStyle w:val="Pieddepage"/>
      <w:rPr>
        <w:i/>
        <w:iCs/>
        <w:lang w:val="fr-BE"/>
      </w:rPr>
    </w:pPr>
    <w:r>
      <w:rPr>
        <w:i/>
        <w:iCs/>
        <w:lang w:val="fr-BE"/>
      </w:rPr>
      <w:t xml:space="preserve">SPW SG-DCPF-DSC                                          </w:t>
    </w:r>
    <w:r>
      <w:rPr>
        <w:i/>
        <w:iCs/>
        <w:lang w:val="fr-BE"/>
      </w:rPr>
      <w:tab/>
      <w:t xml:space="preserve"> </w:t>
    </w:r>
    <w:r w:rsidRPr="003E4D86">
      <w:rPr>
        <w:i/>
        <w:iCs/>
        <w:lang w:val="fr-BE"/>
      </w:rPr>
      <w:t>Guidance pour la collecte des données liées aux contrats indirects</w:t>
    </w:r>
    <w:r>
      <w:rPr>
        <w:i/>
        <w:iCs/>
        <w:lang w:val="fr-BE"/>
      </w:rPr>
      <w:tab/>
    </w:r>
    <w:r>
      <w:rPr>
        <w:i/>
        <w:iCs/>
        <w:lang w:val="fr-BE"/>
      </w:rPr>
      <w:tab/>
      <w:t xml:space="preserve"> </w:t>
    </w:r>
    <w:r>
      <w:rPr>
        <w:i/>
        <w:iCs/>
        <w:lang w:val="fr-BE"/>
      </w:rPr>
      <w:tab/>
    </w:r>
    <w:r>
      <w:rPr>
        <w:i/>
        <w:iCs/>
        <w:lang w:val="fr-BE"/>
      </w:rPr>
      <w:tab/>
      <w:t>23/06/2025</w:t>
    </w:r>
    <w:r>
      <w:rPr>
        <w:i/>
        <w:iCs/>
        <w:lang w:val="fr-BE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F20" w14:textId="16761699" w:rsidR="00E96850" w:rsidRPr="003E4D86" w:rsidRDefault="00E96850">
    <w:pPr>
      <w:pStyle w:val="Pieddepage"/>
      <w:rPr>
        <w:i/>
        <w:iCs/>
        <w:lang w:val="fr-BE"/>
      </w:rPr>
    </w:pPr>
    <w:r>
      <w:rPr>
        <w:i/>
        <w:iCs/>
        <w:lang w:val="fr-BE"/>
      </w:rPr>
      <w:t xml:space="preserve">SPW SG-DCPF-DSC      </w:t>
    </w:r>
    <w:r w:rsidRPr="003E4D86">
      <w:rPr>
        <w:i/>
        <w:iCs/>
        <w:lang w:val="fr-BE"/>
      </w:rPr>
      <w:t>Guidance pour la collecte des données liées aux contrats indirects</w:t>
    </w:r>
    <w:r>
      <w:rPr>
        <w:i/>
        <w:iCs/>
        <w:lang w:val="fr-BE"/>
      </w:rPr>
      <w:tab/>
      <w:t xml:space="preserve">     23/06/2025</w:t>
    </w:r>
    <w:r>
      <w:rPr>
        <w:i/>
        <w:iCs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ECC1" w14:textId="77777777" w:rsidR="00237255" w:rsidRDefault="00237255" w:rsidP="00970B34">
      <w:pPr>
        <w:spacing w:after="0" w:line="240" w:lineRule="auto"/>
      </w:pPr>
      <w:r>
        <w:separator/>
      </w:r>
    </w:p>
  </w:footnote>
  <w:footnote w:type="continuationSeparator" w:id="0">
    <w:p w14:paraId="3305CD65" w14:textId="77777777" w:rsidR="00237255" w:rsidRDefault="00237255" w:rsidP="00970B34">
      <w:pPr>
        <w:spacing w:after="0" w:line="240" w:lineRule="auto"/>
      </w:pPr>
      <w:r>
        <w:continuationSeparator/>
      </w:r>
    </w:p>
  </w:footnote>
  <w:footnote w:type="continuationNotice" w:id="1">
    <w:p w14:paraId="63DD53A2" w14:textId="77777777" w:rsidR="00237255" w:rsidRDefault="00237255">
      <w:pPr>
        <w:spacing w:after="0" w:line="240" w:lineRule="auto"/>
      </w:pPr>
    </w:p>
  </w:footnote>
  <w:footnote w:id="2">
    <w:p w14:paraId="506797E6" w14:textId="24DFF3A0" w:rsidR="006A0BAF" w:rsidRPr="006A0BAF" w:rsidRDefault="006A0BAF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BB6CA1">
        <w:rPr>
          <w:lang w:val="fr-BE"/>
        </w:rPr>
        <w:t xml:space="preserve"> </w:t>
      </w:r>
      <w:hyperlink r:id="rId1" w:history="1">
        <w:r w:rsidR="00BB6CA1" w:rsidRPr="00BB6CA1">
          <w:rPr>
            <w:rStyle w:val="Lienhypertexte"/>
            <w:lang w:val="fr-BE"/>
          </w:rPr>
          <w:t>Règlement (UE) 2021/1060 du Parlement européen et du Conseil du 24 juin 2021</w:t>
        </w:r>
      </w:hyperlink>
    </w:p>
  </w:footnote>
  <w:footnote w:id="3">
    <w:p w14:paraId="052A1287" w14:textId="53584B16" w:rsidR="00BB6CA1" w:rsidRPr="00BB6CA1" w:rsidRDefault="00BB6CA1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7109B1">
        <w:rPr>
          <w:lang w:val="fr-BE"/>
        </w:rPr>
        <w:t xml:space="preserve"> </w:t>
      </w:r>
      <w:hyperlink r:id="rId2" w:history="1">
        <w:r w:rsidR="007109B1">
          <w:rPr>
            <w:rStyle w:val="Lienhypertexte"/>
            <w:lang w:val="fr-BE"/>
          </w:rPr>
          <w:t>Règlement (UE) 2021/241 du Parlement européen et du Conseil du 12 février 2021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558702"/>
      <w:docPartObj>
        <w:docPartGallery w:val="Page Numbers (Top of Page)"/>
        <w:docPartUnique/>
      </w:docPartObj>
    </w:sdtPr>
    <w:sdtEndPr/>
    <w:sdtContent>
      <w:p w14:paraId="27A73A34" w14:textId="70A70B3B" w:rsidR="00942472" w:rsidRDefault="0094247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268FBE3" w14:textId="76CCBE23" w:rsidR="00FF478D" w:rsidRDefault="00FF478D" w:rsidP="00234D8E">
    <w:pPr>
      <w:pStyle w:val="En-tte"/>
      <w:tabs>
        <w:tab w:val="clear" w:pos="4536"/>
        <w:tab w:val="clear" w:pos="9072"/>
        <w:tab w:val="left" w:pos="86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FB52" w14:textId="069A2AA1" w:rsidR="00942472" w:rsidRDefault="00942472" w:rsidP="00942472">
    <w:pPr>
      <w:pStyle w:val="En-tte"/>
    </w:pPr>
  </w:p>
  <w:p w14:paraId="3D808D87" w14:textId="77777777" w:rsidR="00150C3D" w:rsidRDefault="00150C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272793"/>
      <w:docPartObj>
        <w:docPartGallery w:val="Page Numbers (Top of Page)"/>
        <w:docPartUnique/>
      </w:docPartObj>
    </w:sdtPr>
    <w:sdtEndPr/>
    <w:sdtContent>
      <w:p w14:paraId="396FE9C9" w14:textId="137C4CA0" w:rsidR="00942472" w:rsidRDefault="0094247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C790BD2" w14:textId="77777777" w:rsidR="00942472" w:rsidRDefault="009424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DEA"/>
    <w:multiLevelType w:val="hybridMultilevel"/>
    <w:tmpl w:val="F72C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A25"/>
    <w:multiLevelType w:val="hybridMultilevel"/>
    <w:tmpl w:val="0E74D722"/>
    <w:lvl w:ilvl="0" w:tplc="027CA0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00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04206"/>
    <w:multiLevelType w:val="hybridMultilevel"/>
    <w:tmpl w:val="2DD6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520"/>
    <w:multiLevelType w:val="hybridMultilevel"/>
    <w:tmpl w:val="17509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D0FBF"/>
    <w:multiLevelType w:val="hybridMultilevel"/>
    <w:tmpl w:val="6750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1267"/>
    <w:multiLevelType w:val="hybridMultilevel"/>
    <w:tmpl w:val="4164F4F4"/>
    <w:lvl w:ilvl="0" w:tplc="8166B1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07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D5F5F"/>
    <w:multiLevelType w:val="hybridMultilevel"/>
    <w:tmpl w:val="B2607CCC"/>
    <w:lvl w:ilvl="0" w:tplc="71E4C9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24C54"/>
    <w:multiLevelType w:val="hybridMultilevel"/>
    <w:tmpl w:val="9B2203D0"/>
    <w:lvl w:ilvl="0" w:tplc="9A1A6E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50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51C73"/>
    <w:multiLevelType w:val="hybridMultilevel"/>
    <w:tmpl w:val="3676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38A4"/>
    <w:multiLevelType w:val="hybridMultilevel"/>
    <w:tmpl w:val="3562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44D1D"/>
    <w:multiLevelType w:val="multilevel"/>
    <w:tmpl w:val="1FA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133518">
    <w:abstractNumId w:val="9"/>
  </w:num>
  <w:num w:numId="2" w16cid:durableId="1825048112">
    <w:abstractNumId w:val="1"/>
  </w:num>
  <w:num w:numId="3" w16cid:durableId="1045562749">
    <w:abstractNumId w:val="6"/>
  </w:num>
  <w:num w:numId="4" w16cid:durableId="1391807333">
    <w:abstractNumId w:val="8"/>
  </w:num>
  <w:num w:numId="5" w16cid:durableId="1778332679">
    <w:abstractNumId w:val="10"/>
  </w:num>
  <w:num w:numId="6" w16cid:durableId="1546261114">
    <w:abstractNumId w:val="7"/>
  </w:num>
  <w:num w:numId="7" w16cid:durableId="2098594354">
    <w:abstractNumId w:val="2"/>
  </w:num>
  <w:num w:numId="8" w16cid:durableId="164133610">
    <w:abstractNumId w:val="13"/>
  </w:num>
  <w:num w:numId="9" w16cid:durableId="802961825">
    <w:abstractNumId w:val="0"/>
  </w:num>
  <w:num w:numId="10" w16cid:durableId="494150373">
    <w:abstractNumId w:val="12"/>
  </w:num>
  <w:num w:numId="11" w16cid:durableId="49575624">
    <w:abstractNumId w:val="3"/>
  </w:num>
  <w:num w:numId="12" w16cid:durableId="1202479758">
    <w:abstractNumId w:val="5"/>
  </w:num>
  <w:num w:numId="13" w16cid:durableId="1233732665">
    <w:abstractNumId w:val="5"/>
  </w:num>
  <w:num w:numId="14" w16cid:durableId="441848569">
    <w:abstractNumId w:val="11"/>
  </w:num>
  <w:num w:numId="15" w16cid:durableId="193143009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ES Nico">
    <w15:presenceInfo w15:providerId="AD" w15:userId="S::nico.mores@spw.wallonie.be::addafdb2-a9fb-4ffb-a6a8-f71cfd1d7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18"/>
    <w:rsid w:val="00000939"/>
    <w:rsid w:val="000016C2"/>
    <w:rsid w:val="00001E02"/>
    <w:rsid w:val="00001E4C"/>
    <w:rsid w:val="00003AC3"/>
    <w:rsid w:val="0000744E"/>
    <w:rsid w:val="000106D0"/>
    <w:rsid w:val="00010A8C"/>
    <w:rsid w:val="00012B17"/>
    <w:rsid w:val="0001363B"/>
    <w:rsid w:val="0001520E"/>
    <w:rsid w:val="00017CBB"/>
    <w:rsid w:val="00020712"/>
    <w:rsid w:val="0002493D"/>
    <w:rsid w:val="000340AA"/>
    <w:rsid w:val="000369C4"/>
    <w:rsid w:val="00040C0A"/>
    <w:rsid w:val="0004252B"/>
    <w:rsid w:val="00043310"/>
    <w:rsid w:val="00045221"/>
    <w:rsid w:val="00046382"/>
    <w:rsid w:val="000478AB"/>
    <w:rsid w:val="00050018"/>
    <w:rsid w:val="00050590"/>
    <w:rsid w:val="00053EFF"/>
    <w:rsid w:val="00061003"/>
    <w:rsid w:val="000616F7"/>
    <w:rsid w:val="00062924"/>
    <w:rsid w:val="0006726A"/>
    <w:rsid w:val="00072EF6"/>
    <w:rsid w:val="000761A1"/>
    <w:rsid w:val="00077256"/>
    <w:rsid w:val="00077D17"/>
    <w:rsid w:val="000808AE"/>
    <w:rsid w:val="000842DC"/>
    <w:rsid w:val="00084A67"/>
    <w:rsid w:val="00087036"/>
    <w:rsid w:val="0009337F"/>
    <w:rsid w:val="00095AF0"/>
    <w:rsid w:val="00096127"/>
    <w:rsid w:val="000A1E0A"/>
    <w:rsid w:val="000A404C"/>
    <w:rsid w:val="000A47C1"/>
    <w:rsid w:val="000B0D53"/>
    <w:rsid w:val="000B202D"/>
    <w:rsid w:val="000C3072"/>
    <w:rsid w:val="000C5078"/>
    <w:rsid w:val="000D0905"/>
    <w:rsid w:val="000D29B0"/>
    <w:rsid w:val="000D4F2C"/>
    <w:rsid w:val="000D7321"/>
    <w:rsid w:val="000D7E58"/>
    <w:rsid w:val="000E0860"/>
    <w:rsid w:val="000E3CBD"/>
    <w:rsid w:val="000E6C6D"/>
    <w:rsid w:val="000F6A9E"/>
    <w:rsid w:val="001060B1"/>
    <w:rsid w:val="00107BA8"/>
    <w:rsid w:val="001103E7"/>
    <w:rsid w:val="001155C1"/>
    <w:rsid w:val="00115F86"/>
    <w:rsid w:val="0011735D"/>
    <w:rsid w:val="00117A9B"/>
    <w:rsid w:val="001228A9"/>
    <w:rsid w:val="00125A7D"/>
    <w:rsid w:val="0013063F"/>
    <w:rsid w:val="00131865"/>
    <w:rsid w:val="0013321E"/>
    <w:rsid w:val="00145421"/>
    <w:rsid w:val="00150C3D"/>
    <w:rsid w:val="0015124D"/>
    <w:rsid w:val="00152927"/>
    <w:rsid w:val="001548FF"/>
    <w:rsid w:val="0015702D"/>
    <w:rsid w:val="001579A3"/>
    <w:rsid w:val="001603DA"/>
    <w:rsid w:val="00161A6F"/>
    <w:rsid w:val="00165877"/>
    <w:rsid w:val="001667D9"/>
    <w:rsid w:val="00166874"/>
    <w:rsid w:val="00166DE8"/>
    <w:rsid w:val="0017221A"/>
    <w:rsid w:val="00173CF8"/>
    <w:rsid w:val="00181DCC"/>
    <w:rsid w:val="00193B72"/>
    <w:rsid w:val="00193F74"/>
    <w:rsid w:val="001A0279"/>
    <w:rsid w:val="001A065A"/>
    <w:rsid w:val="001A2F6E"/>
    <w:rsid w:val="001B0107"/>
    <w:rsid w:val="001B4F8C"/>
    <w:rsid w:val="001B548B"/>
    <w:rsid w:val="001B57F0"/>
    <w:rsid w:val="001B6170"/>
    <w:rsid w:val="001C4E05"/>
    <w:rsid w:val="001C5965"/>
    <w:rsid w:val="001C6489"/>
    <w:rsid w:val="001D76E3"/>
    <w:rsid w:val="001E5FBE"/>
    <w:rsid w:val="001E611F"/>
    <w:rsid w:val="001F0574"/>
    <w:rsid w:val="001F2463"/>
    <w:rsid w:val="0020215D"/>
    <w:rsid w:val="00203722"/>
    <w:rsid w:val="00204EA3"/>
    <w:rsid w:val="00206F0A"/>
    <w:rsid w:val="002074A3"/>
    <w:rsid w:val="00210AAA"/>
    <w:rsid w:val="002134DD"/>
    <w:rsid w:val="00213851"/>
    <w:rsid w:val="00220480"/>
    <w:rsid w:val="0022055B"/>
    <w:rsid w:val="00220A1C"/>
    <w:rsid w:val="002265D9"/>
    <w:rsid w:val="0023152E"/>
    <w:rsid w:val="002341D5"/>
    <w:rsid w:val="00234D8E"/>
    <w:rsid w:val="00237255"/>
    <w:rsid w:val="00237EA4"/>
    <w:rsid w:val="002416D8"/>
    <w:rsid w:val="00242CB8"/>
    <w:rsid w:val="00244038"/>
    <w:rsid w:val="002442DC"/>
    <w:rsid w:val="00244647"/>
    <w:rsid w:val="002452B1"/>
    <w:rsid w:val="00245CEE"/>
    <w:rsid w:val="00246D4E"/>
    <w:rsid w:val="002512C6"/>
    <w:rsid w:val="00253C1A"/>
    <w:rsid w:val="00254F10"/>
    <w:rsid w:val="00257580"/>
    <w:rsid w:val="002605E7"/>
    <w:rsid w:val="002633AE"/>
    <w:rsid w:val="00263E53"/>
    <w:rsid w:val="00273ACA"/>
    <w:rsid w:val="00273B9A"/>
    <w:rsid w:val="00276D0F"/>
    <w:rsid w:val="00277DE0"/>
    <w:rsid w:val="0028658A"/>
    <w:rsid w:val="00294635"/>
    <w:rsid w:val="00294CFE"/>
    <w:rsid w:val="002952D0"/>
    <w:rsid w:val="002957BA"/>
    <w:rsid w:val="002A09D4"/>
    <w:rsid w:val="002A5B3A"/>
    <w:rsid w:val="002A63A8"/>
    <w:rsid w:val="002A6D38"/>
    <w:rsid w:val="002A7CE6"/>
    <w:rsid w:val="002B619E"/>
    <w:rsid w:val="002B6F7F"/>
    <w:rsid w:val="002C7C64"/>
    <w:rsid w:val="002D2846"/>
    <w:rsid w:val="002D3DEB"/>
    <w:rsid w:val="002D5E96"/>
    <w:rsid w:val="002D601B"/>
    <w:rsid w:val="002E12FC"/>
    <w:rsid w:val="002E2A0C"/>
    <w:rsid w:val="002E523A"/>
    <w:rsid w:val="002E5F6C"/>
    <w:rsid w:val="002E7682"/>
    <w:rsid w:val="002E7DB4"/>
    <w:rsid w:val="002E7DED"/>
    <w:rsid w:val="002F393F"/>
    <w:rsid w:val="002F5062"/>
    <w:rsid w:val="002F50D2"/>
    <w:rsid w:val="002F6F39"/>
    <w:rsid w:val="002F7B5C"/>
    <w:rsid w:val="003044CA"/>
    <w:rsid w:val="00306AE3"/>
    <w:rsid w:val="00310534"/>
    <w:rsid w:val="00317C80"/>
    <w:rsid w:val="003210CA"/>
    <w:rsid w:val="00321DAC"/>
    <w:rsid w:val="00325DAA"/>
    <w:rsid w:val="00326346"/>
    <w:rsid w:val="00335E2F"/>
    <w:rsid w:val="00342EC5"/>
    <w:rsid w:val="00346C67"/>
    <w:rsid w:val="00347CE8"/>
    <w:rsid w:val="00350EBB"/>
    <w:rsid w:val="00352E18"/>
    <w:rsid w:val="00360A42"/>
    <w:rsid w:val="00360BF7"/>
    <w:rsid w:val="0037077C"/>
    <w:rsid w:val="00370909"/>
    <w:rsid w:val="003727D2"/>
    <w:rsid w:val="00377E96"/>
    <w:rsid w:val="00383A7D"/>
    <w:rsid w:val="00386C86"/>
    <w:rsid w:val="00391134"/>
    <w:rsid w:val="0039273D"/>
    <w:rsid w:val="00392EDF"/>
    <w:rsid w:val="00393A1E"/>
    <w:rsid w:val="003956CA"/>
    <w:rsid w:val="0039678F"/>
    <w:rsid w:val="0039717D"/>
    <w:rsid w:val="003A2E4C"/>
    <w:rsid w:val="003A36C7"/>
    <w:rsid w:val="003A3BAD"/>
    <w:rsid w:val="003A479E"/>
    <w:rsid w:val="003A7579"/>
    <w:rsid w:val="003A7B1F"/>
    <w:rsid w:val="003B0EA8"/>
    <w:rsid w:val="003B62A3"/>
    <w:rsid w:val="003C29D4"/>
    <w:rsid w:val="003C4E58"/>
    <w:rsid w:val="003D07C3"/>
    <w:rsid w:val="003D14F8"/>
    <w:rsid w:val="003D1D65"/>
    <w:rsid w:val="003D2452"/>
    <w:rsid w:val="003D6B0A"/>
    <w:rsid w:val="003E05F7"/>
    <w:rsid w:val="003E4B92"/>
    <w:rsid w:val="003E4D86"/>
    <w:rsid w:val="003E6E0A"/>
    <w:rsid w:val="003E7017"/>
    <w:rsid w:val="003E7A0F"/>
    <w:rsid w:val="003F1D16"/>
    <w:rsid w:val="003F2CED"/>
    <w:rsid w:val="003F3ADE"/>
    <w:rsid w:val="003F4EFC"/>
    <w:rsid w:val="003F5C48"/>
    <w:rsid w:val="00401C92"/>
    <w:rsid w:val="00402B5C"/>
    <w:rsid w:val="00402F3E"/>
    <w:rsid w:val="00403143"/>
    <w:rsid w:val="00403F4E"/>
    <w:rsid w:val="00412A65"/>
    <w:rsid w:val="00416DCA"/>
    <w:rsid w:val="004213F5"/>
    <w:rsid w:val="00425A16"/>
    <w:rsid w:val="00425B91"/>
    <w:rsid w:val="00426F2C"/>
    <w:rsid w:val="004277AA"/>
    <w:rsid w:val="00431503"/>
    <w:rsid w:val="00434FCC"/>
    <w:rsid w:val="00436813"/>
    <w:rsid w:val="00436ADD"/>
    <w:rsid w:val="004378D1"/>
    <w:rsid w:val="00442E6E"/>
    <w:rsid w:val="00445BBC"/>
    <w:rsid w:val="00450734"/>
    <w:rsid w:val="00450D95"/>
    <w:rsid w:val="00453607"/>
    <w:rsid w:val="00454C27"/>
    <w:rsid w:val="00455069"/>
    <w:rsid w:val="0045623A"/>
    <w:rsid w:val="00464D47"/>
    <w:rsid w:val="00466654"/>
    <w:rsid w:val="004668E6"/>
    <w:rsid w:val="00466B73"/>
    <w:rsid w:val="00467DBD"/>
    <w:rsid w:val="00472CA3"/>
    <w:rsid w:val="00474EAF"/>
    <w:rsid w:val="00474EFF"/>
    <w:rsid w:val="004775DE"/>
    <w:rsid w:val="0048071F"/>
    <w:rsid w:val="00481022"/>
    <w:rsid w:val="00481FE4"/>
    <w:rsid w:val="00484348"/>
    <w:rsid w:val="0048553B"/>
    <w:rsid w:val="00490F51"/>
    <w:rsid w:val="004957B9"/>
    <w:rsid w:val="00496159"/>
    <w:rsid w:val="0049715C"/>
    <w:rsid w:val="00497E49"/>
    <w:rsid w:val="004B01A8"/>
    <w:rsid w:val="004B1F18"/>
    <w:rsid w:val="004B7047"/>
    <w:rsid w:val="004B77A8"/>
    <w:rsid w:val="004C19F0"/>
    <w:rsid w:val="004C5C23"/>
    <w:rsid w:val="004D0806"/>
    <w:rsid w:val="004D1ADA"/>
    <w:rsid w:val="004D248B"/>
    <w:rsid w:val="004D460D"/>
    <w:rsid w:val="004D5EDD"/>
    <w:rsid w:val="004D6939"/>
    <w:rsid w:val="004E0B35"/>
    <w:rsid w:val="004E1451"/>
    <w:rsid w:val="004E1E47"/>
    <w:rsid w:val="004E23A1"/>
    <w:rsid w:val="004E281F"/>
    <w:rsid w:val="004E4A29"/>
    <w:rsid w:val="004F0999"/>
    <w:rsid w:val="004F22EC"/>
    <w:rsid w:val="004F5913"/>
    <w:rsid w:val="004F5B8D"/>
    <w:rsid w:val="004F6BAC"/>
    <w:rsid w:val="0050137D"/>
    <w:rsid w:val="00501386"/>
    <w:rsid w:val="00503C36"/>
    <w:rsid w:val="00505D0F"/>
    <w:rsid w:val="0051097D"/>
    <w:rsid w:val="0051245E"/>
    <w:rsid w:val="00512579"/>
    <w:rsid w:val="005155FD"/>
    <w:rsid w:val="00521EED"/>
    <w:rsid w:val="00522AC0"/>
    <w:rsid w:val="0052505C"/>
    <w:rsid w:val="005314CD"/>
    <w:rsid w:val="0053389C"/>
    <w:rsid w:val="00533987"/>
    <w:rsid w:val="0053453C"/>
    <w:rsid w:val="00535039"/>
    <w:rsid w:val="00536AE6"/>
    <w:rsid w:val="00536C64"/>
    <w:rsid w:val="00541B03"/>
    <w:rsid w:val="00543E09"/>
    <w:rsid w:val="00544592"/>
    <w:rsid w:val="00546384"/>
    <w:rsid w:val="00550950"/>
    <w:rsid w:val="00553B05"/>
    <w:rsid w:val="00560303"/>
    <w:rsid w:val="005612B4"/>
    <w:rsid w:val="00562B2A"/>
    <w:rsid w:val="00571BE7"/>
    <w:rsid w:val="00571F89"/>
    <w:rsid w:val="005732BF"/>
    <w:rsid w:val="00573FC4"/>
    <w:rsid w:val="005816A7"/>
    <w:rsid w:val="005816F9"/>
    <w:rsid w:val="005839B8"/>
    <w:rsid w:val="00584155"/>
    <w:rsid w:val="00587763"/>
    <w:rsid w:val="00590AE6"/>
    <w:rsid w:val="0059460D"/>
    <w:rsid w:val="0059638D"/>
    <w:rsid w:val="00596757"/>
    <w:rsid w:val="00596CDC"/>
    <w:rsid w:val="005A28F6"/>
    <w:rsid w:val="005A3F23"/>
    <w:rsid w:val="005A5D9C"/>
    <w:rsid w:val="005B1F31"/>
    <w:rsid w:val="005B37ED"/>
    <w:rsid w:val="005B6729"/>
    <w:rsid w:val="005C3BC6"/>
    <w:rsid w:val="005C3F2A"/>
    <w:rsid w:val="005D1222"/>
    <w:rsid w:val="005D24A6"/>
    <w:rsid w:val="005D3162"/>
    <w:rsid w:val="005D4D7A"/>
    <w:rsid w:val="005D5BB6"/>
    <w:rsid w:val="005E0512"/>
    <w:rsid w:val="005E55EC"/>
    <w:rsid w:val="005E7404"/>
    <w:rsid w:val="005F4C41"/>
    <w:rsid w:val="00604023"/>
    <w:rsid w:val="00611354"/>
    <w:rsid w:val="00615250"/>
    <w:rsid w:val="006152D0"/>
    <w:rsid w:val="00615C2C"/>
    <w:rsid w:val="006168DB"/>
    <w:rsid w:val="00620434"/>
    <w:rsid w:val="00620866"/>
    <w:rsid w:val="00622ECE"/>
    <w:rsid w:val="00631F1E"/>
    <w:rsid w:val="0063297E"/>
    <w:rsid w:val="0063345B"/>
    <w:rsid w:val="00640561"/>
    <w:rsid w:val="00643AAE"/>
    <w:rsid w:val="00645E30"/>
    <w:rsid w:val="006501C0"/>
    <w:rsid w:val="006514D1"/>
    <w:rsid w:val="00651B43"/>
    <w:rsid w:val="0065296A"/>
    <w:rsid w:val="0065451C"/>
    <w:rsid w:val="006550CE"/>
    <w:rsid w:val="0066209E"/>
    <w:rsid w:val="00663780"/>
    <w:rsid w:val="00672860"/>
    <w:rsid w:val="0067314C"/>
    <w:rsid w:val="00681FBE"/>
    <w:rsid w:val="00682F0B"/>
    <w:rsid w:val="006850D1"/>
    <w:rsid w:val="006900DF"/>
    <w:rsid w:val="00690B6D"/>
    <w:rsid w:val="00693074"/>
    <w:rsid w:val="006A0302"/>
    <w:rsid w:val="006A0BAF"/>
    <w:rsid w:val="006A2E32"/>
    <w:rsid w:val="006A31CE"/>
    <w:rsid w:val="006A7617"/>
    <w:rsid w:val="006B7FA9"/>
    <w:rsid w:val="006C2C5E"/>
    <w:rsid w:val="006D5736"/>
    <w:rsid w:val="006E2349"/>
    <w:rsid w:val="006E271D"/>
    <w:rsid w:val="006E27FF"/>
    <w:rsid w:val="006E6698"/>
    <w:rsid w:val="006E74DA"/>
    <w:rsid w:val="006F20A8"/>
    <w:rsid w:val="006F260B"/>
    <w:rsid w:val="006FE0BF"/>
    <w:rsid w:val="007012DF"/>
    <w:rsid w:val="00703807"/>
    <w:rsid w:val="007051F5"/>
    <w:rsid w:val="007059DE"/>
    <w:rsid w:val="007066C8"/>
    <w:rsid w:val="00707402"/>
    <w:rsid w:val="007109B1"/>
    <w:rsid w:val="00712892"/>
    <w:rsid w:val="00714A67"/>
    <w:rsid w:val="00720034"/>
    <w:rsid w:val="00722385"/>
    <w:rsid w:val="00722454"/>
    <w:rsid w:val="00723E8F"/>
    <w:rsid w:val="0073056D"/>
    <w:rsid w:val="00733BF3"/>
    <w:rsid w:val="0073489C"/>
    <w:rsid w:val="00736D54"/>
    <w:rsid w:val="00741026"/>
    <w:rsid w:val="00742CB4"/>
    <w:rsid w:val="00743EDA"/>
    <w:rsid w:val="0075235B"/>
    <w:rsid w:val="007527EA"/>
    <w:rsid w:val="00753CAF"/>
    <w:rsid w:val="00761721"/>
    <w:rsid w:val="00767F34"/>
    <w:rsid w:val="007718FD"/>
    <w:rsid w:val="007740DD"/>
    <w:rsid w:val="007753AA"/>
    <w:rsid w:val="00775989"/>
    <w:rsid w:val="00777A93"/>
    <w:rsid w:val="0078161E"/>
    <w:rsid w:val="00782E57"/>
    <w:rsid w:val="00783064"/>
    <w:rsid w:val="00784EEA"/>
    <w:rsid w:val="007920C4"/>
    <w:rsid w:val="00793966"/>
    <w:rsid w:val="00794F0B"/>
    <w:rsid w:val="00796D72"/>
    <w:rsid w:val="007A0F29"/>
    <w:rsid w:val="007A3C09"/>
    <w:rsid w:val="007A6F79"/>
    <w:rsid w:val="007A7F82"/>
    <w:rsid w:val="007B5A81"/>
    <w:rsid w:val="007B77E4"/>
    <w:rsid w:val="007C1E1D"/>
    <w:rsid w:val="007D012B"/>
    <w:rsid w:val="007D1D96"/>
    <w:rsid w:val="007D397D"/>
    <w:rsid w:val="007E0D74"/>
    <w:rsid w:val="007E20AE"/>
    <w:rsid w:val="007E4162"/>
    <w:rsid w:val="007E6682"/>
    <w:rsid w:val="007F1051"/>
    <w:rsid w:val="008017EF"/>
    <w:rsid w:val="00805C8E"/>
    <w:rsid w:val="0081104A"/>
    <w:rsid w:val="008112B1"/>
    <w:rsid w:val="00811B56"/>
    <w:rsid w:val="0081590E"/>
    <w:rsid w:val="00821747"/>
    <w:rsid w:val="00825ADE"/>
    <w:rsid w:val="00836E58"/>
    <w:rsid w:val="00840768"/>
    <w:rsid w:val="00843D3C"/>
    <w:rsid w:val="00845014"/>
    <w:rsid w:val="0084632E"/>
    <w:rsid w:val="008507C6"/>
    <w:rsid w:val="00851953"/>
    <w:rsid w:val="0085286F"/>
    <w:rsid w:val="0085314E"/>
    <w:rsid w:val="00854793"/>
    <w:rsid w:val="00855539"/>
    <w:rsid w:val="0085606D"/>
    <w:rsid w:val="00862452"/>
    <w:rsid w:val="00866EEF"/>
    <w:rsid w:val="00870115"/>
    <w:rsid w:val="00876523"/>
    <w:rsid w:val="0088051D"/>
    <w:rsid w:val="00880A34"/>
    <w:rsid w:val="00882FAC"/>
    <w:rsid w:val="00884372"/>
    <w:rsid w:val="0089203A"/>
    <w:rsid w:val="00894B6F"/>
    <w:rsid w:val="0089711A"/>
    <w:rsid w:val="0089752C"/>
    <w:rsid w:val="008A10E1"/>
    <w:rsid w:val="008A62B7"/>
    <w:rsid w:val="008B1655"/>
    <w:rsid w:val="008B2EC1"/>
    <w:rsid w:val="008B4ADA"/>
    <w:rsid w:val="008B54A4"/>
    <w:rsid w:val="008B6E97"/>
    <w:rsid w:val="008C29E7"/>
    <w:rsid w:val="008C2C1C"/>
    <w:rsid w:val="008C310F"/>
    <w:rsid w:val="008C51CD"/>
    <w:rsid w:val="008C5B99"/>
    <w:rsid w:val="008D225B"/>
    <w:rsid w:val="008D5222"/>
    <w:rsid w:val="008E3DDC"/>
    <w:rsid w:val="008E7238"/>
    <w:rsid w:val="008E7B7E"/>
    <w:rsid w:val="008F160A"/>
    <w:rsid w:val="008F3017"/>
    <w:rsid w:val="008F3723"/>
    <w:rsid w:val="008F3D98"/>
    <w:rsid w:val="008F489D"/>
    <w:rsid w:val="0090078C"/>
    <w:rsid w:val="00901239"/>
    <w:rsid w:val="00901FB8"/>
    <w:rsid w:val="0090700B"/>
    <w:rsid w:val="00907B2C"/>
    <w:rsid w:val="00910A00"/>
    <w:rsid w:val="0091300F"/>
    <w:rsid w:val="00913982"/>
    <w:rsid w:val="0091548B"/>
    <w:rsid w:val="009154B5"/>
    <w:rsid w:val="00917CC7"/>
    <w:rsid w:val="00921DAE"/>
    <w:rsid w:val="00923542"/>
    <w:rsid w:val="00923FDC"/>
    <w:rsid w:val="00927D2D"/>
    <w:rsid w:val="00930375"/>
    <w:rsid w:val="00935CE5"/>
    <w:rsid w:val="00942472"/>
    <w:rsid w:val="009426E6"/>
    <w:rsid w:val="00944EBB"/>
    <w:rsid w:val="00944EED"/>
    <w:rsid w:val="00945924"/>
    <w:rsid w:val="0095228D"/>
    <w:rsid w:val="0095344F"/>
    <w:rsid w:val="00957C71"/>
    <w:rsid w:val="00957EF2"/>
    <w:rsid w:val="00960426"/>
    <w:rsid w:val="00963547"/>
    <w:rsid w:val="00963990"/>
    <w:rsid w:val="00965CB3"/>
    <w:rsid w:val="009664DA"/>
    <w:rsid w:val="00967676"/>
    <w:rsid w:val="00970B34"/>
    <w:rsid w:val="009723C7"/>
    <w:rsid w:val="00976055"/>
    <w:rsid w:val="00980A6B"/>
    <w:rsid w:val="0098190F"/>
    <w:rsid w:val="00985BA7"/>
    <w:rsid w:val="00985D38"/>
    <w:rsid w:val="00986629"/>
    <w:rsid w:val="00987313"/>
    <w:rsid w:val="009A6162"/>
    <w:rsid w:val="009B1A44"/>
    <w:rsid w:val="009B1F21"/>
    <w:rsid w:val="009B765A"/>
    <w:rsid w:val="009C1E5B"/>
    <w:rsid w:val="009C68AB"/>
    <w:rsid w:val="009D52F6"/>
    <w:rsid w:val="009E4C54"/>
    <w:rsid w:val="009E6D26"/>
    <w:rsid w:val="009F2625"/>
    <w:rsid w:val="00A00B3F"/>
    <w:rsid w:val="00A01213"/>
    <w:rsid w:val="00A0262D"/>
    <w:rsid w:val="00A03D7F"/>
    <w:rsid w:val="00A04E3D"/>
    <w:rsid w:val="00A07EB0"/>
    <w:rsid w:val="00A14689"/>
    <w:rsid w:val="00A170E9"/>
    <w:rsid w:val="00A17580"/>
    <w:rsid w:val="00A17B45"/>
    <w:rsid w:val="00A24FCF"/>
    <w:rsid w:val="00A26445"/>
    <w:rsid w:val="00A3153F"/>
    <w:rsid w:val="00A3582A"/>
    <w:rsid w:val="00A37D47"/>
    <w:rsid w:val="00A41325"/>
    <w:rsid w:val="00A419DF"/>
    <w:rsid w:val="00A552DC"/>
    <w:rsid w:val="00A565E8"/>
    <w:rsid w:val="00A60E40"/>
    <w:rsid w:val="00A620B5"/>
    <w:rsid w:val="00A63DDB"/>
    <w:rsid w:val="00A6623B"/>
    <w:rsid w:val="00A663C4"/>
    <w:rsid w:val="00A77997"/>
    <w:rsid w:val="00A814D6"/>
    <w:rsid w:val="00A83B7F"/>
    <w:rsid w:val="00A83CAF"/>
    <w:rsid w:val="00A85E3D"/>
    <w:rsid w:val="00AB27C7"/>
    <w:rsid w:val="00AB45B2"/>
    <w:rsid w:val="00AB4C02"/>
    <w:rsid w:val="00AB55D4"/>
    <w:rsid w:val="00AC37FC"/>
    <w:rsid w:val="00AD0522"/>
    <w:rsid w:val="00AD0CDE"/>
    <w:rsid w:val="00AD0D00"/>
    <w:rsid w:val="00AD1E3F"/>
    <w:rsid w:val="00AD4CA9"/>
    <w:rsid w:val="00AD6031"/>
    <w:rsid w:val="00AD636F"/>
    <w:rsid w:val="00AD6FBB"/>
    <w:rsid w:val="00AE25F3"/>
    <w:rsid w:val="00AE7EF6"/>
    <w:rsid w:val="00AF25D3"/>
    <w:rsid w:val="00AF2F2B"/>
    <w:rsid w:val="00AF3D5E"/>
    <w:rsid w:val="00B05221"/>
    <w:rsid w:val="00B0579D"/>
    <w:rsid w:val="00B0643F"/>
    <w:rsid w:val="00B15D03"/>
    <w:rsid w:val="00B1746F"/>
    <w:rsid w:val="00B27539"/>
    <w:rsid w:val="00B31952"/>
    <w:rsid w:val="00B3521C"/>
    <w:rsid w:val="00B409D3"/>
    <w:rsid w:val="00B43287"/>
    <w:rsid w:val="00B44BB6"/>
    <w:rsid w:val="00B44D84"/>
    <w:rsid w:val="00B45119"/>
    <w:rsid w:val="00B47152"/>
    <w:rsid w:val="00B503E7"/>
    <w:rsid w:val="00B505A9"/>
    <w:rsid w:val="00B5252E"/>
    <w:rsid w:val="00B568B7"/>
    <w:rsid w:val="00B5775F"/>
    <w:rsid w:val="00B57B8E"/>
    <w:rsid w:val="00B602C0"/>
    <w:rsid w:val="00B6156C"/>
    <w:rsid w:val="00B64CBC"/>
    <w:rsid w:val="00B671EA"/>
    <w:rsid w:val="00B67D5B"/>
    <w:rsid w:val="00B725FC"/>
    <w:rsid w:val="00B74469"/>
    <w:rsid w:val="00B767D1"/>
    <w:rsid w:val="00B86399"/>
    <w:rsid w:val="00B87556"/>
    <w:rsid w:val="00B9707C"/>
    <w:rsid w:val="00BA0E23"/>
    <w:rsid w:val="00BA178B"/>
    <w:rsid w:val="00BA2941"/>
    <w:rsid w:val="00BA2F9B"/>
    <w:rsid w:val="00BA39FC"/>
    <w:rsid w:val="00BA3B8C"/>
    <w:rsid w:val="00BB0AAE"/>
    <w:rsid w:val="00BB4589"/>
    <w:rsid w:val="00BB6CA1"/>
    <w:rsid w:val="00BB6E3E"/>
    <w:rsid w:val="00BC16D9"/>
    <w:rsid w:val="00BC75B7"/>
    <w:rsid w:val="00BD4E3C"/>
    <w:rsid w:val="00BE070E"/>
    <w:rsid w:val="00BE1732"/>
    <w:rsid w:val="00BE37BA"/>
    <w:rsid w:val="00BE62D6"/>
    <w:rsid w:val="00BF19D9"/>
    <w:rsid w:val="00BF28D3"/>
    <w:rsid w:val="00BF3D21"/>
    <w:rsid w:val="00BF790B"/>
    <w:rsid w:val="00C02739"/>
    <w:rsid w:val="00C1206B"/>
    <w:rsid w:val="00C13E87"/>
    <w:rsid w:val="00C15678"/>
    <w:rsid w:val="00C2077C"/>
    <w:rsid w:val="00C22F77"/>
    <w:rsid w:val="00C23B17"/>
    <w:rsid w:val="00C25A2C"/>
    <w:rsid w:val="00C305E1"/>
    <w:rsid w:val="00C32719"/>
    <w:rsid w:val="00C34093"/>
    <w:rsid w:val="00C42396"/>
    <w:rsid w:val="00C44975"/>
    <w:rsid w:val="00C47141"/>
    <w:rsid w:val="00C53064"/>
    <w:rsid w:val="00C54DD3"/>
    <w:rsid w:val="00C55E59"/>
    <w:rsid w:val="00C561BB"/>
    <w:rsid w:val="00C603F2"/>
    <w:rsid w:val="00C60705"/>
    <w:rsid w:val="00C62591"/>
    <w:rsid w:val="00C62B60"/>
    <w:rsid w:val="00C631D6"/>
    <w:rsid w:val="00C635B2"/>
    <w:rsid w:val="00C66600"/>
    <w:rsid w:val="00C720F4"/>
    <w:rsid w:val="00C722F2"/>
    <w:rsid w:val="00C7319E"/>
    <w:rsid w:val="00C7474D"/>
    <w:rsid w:val="00C747C8"/>
    <w:rsid w:val="00C77500"/>
    <w:rsid w:val="00C80114"/>
    <w:rsid w:val="00C81DAF"/>
    <w:rsid w:val="00C825B0"/>
    <w:rsid w:val="00C84003"/>
    <w:rsid w:val="00C8408A"/>
    <w:rsid w:val="00C85088"/>
    <w:rsid w:val="00C8743A"/>
    <w:rsid w:val="00C92587"/>
    <w:rsid w:val="00CA1183"/>
    <w:rsid w:val="00CA1476"/>
    <w:rsid w:val="00CA1E5C"/>
    <w:rsid w:val="00CA44F1"/>
    <w:rsid w:val="00CA459A"/>
    <w:rsid w:val="00CA6861"/>
    <w:rsid w:val="00CA692E"/>
    <w:rsid w:val="00CA7B82"/>
    <w:rsid w:val="00CB078A"/>
    <w:rsid w:val="00CB4E28"/>
    <w:rsid w:val="00CB769C"/>
    <w:rsid w:val="00CC092D"/>
    <w:rsid w:val="00CC0C39"/>
    <w:rsid w:val="00CC4078"/>
    <w:rsid w:val="00CC4F3C"/>
    <w:rsid w:val="00CC5356"/>
    <w:rsid w:val="00CC5A98"/>
    <w:rsid w:val="00CC6720"/>
    <w:rsid w:val="00CC6738"/>
    <w:rsid w:val="00CC6C51"/>
    <w:rsid w:val="00CD1A4F"/>
    <w:rsid w:val="00CD720D"/>
    <w:rsid w:val="00CE0799"/>
    <w:rsid w:val="00CE1D89"/>
    <w:rsid w:val="00CE35EE"/>
    <w:rsid w:val="00CF27DA"/>
    <w:rsid w:val="00CF4916"/>
    <w:rsid w:val="00D00F67"/>
    <w:rsid w:val="00D0503A"/>
    <w:rsid w:val="00D060B9"/>
    <w:rsid w:val="00D07B27"/>
    <w:rsid w:val="00D11925"/>
    <w:rsid w:val="00D17539"/>
    <w:rsid w:val="00D22851"/>
    <w:rsid w:val="00D22BF9"/>
    <w:rsid w:val="00D23294"/>
    <w:rsid w:val="00D26B40"/>
    <w:rsid w:val="00D312CE"/>
    <w:rsid w:val="00D31DCF"/>
    <w:rsid w:val="00D354F2"/>
    <w:rsid w:val="00D37E57"/>
    <w:rsid w:val="00D45202"/>
    <w:rsid w:val="00D46ED6"/>
    <w:rsid w:val="00D47455"/>
    <w:rsid w:val="00D50B2C"/>
    <w:rsid w:val="00D50E9A"/>
    <w:rsid w:val="00D51556"/>
    <w:rsid w:val="00D51F40"/>
    <w:rsid w:val="00D52DA8"/>
    <w:rsid w:val="00D56444"/>
    <w:rsid w:val="00D61266"/>
    <w:rsid w:val="00D625EE"/>
    <w:rsid w:val="00D649CC"/>
    <w:rsid w:val="00D6667A"/>
    <w:rsid w:val="00D70DCB"/>
    <w:rsid w:val="00D71031"/>
    <w:rsid w:val="00D80E47"/>
    <w:rsid w:val="00D81C94"/>
    <w:rsid w:val="00D82878"/>
    <w:rsid w:val="00D860BD"/>
    <w:rsid w:val="00D90C43"/>
    <w:rsid w:val="00D945F4"/>
    <w:rsid w:val="00D959AC"/>
    <w:rsid w:val="00DA095D"/>
    <w:rsid w:val="00DA4511"/>
    <w:rsid w:val="00DA5F91"/>
    <w:rsid w:val="00DB1C12"/>
    <w:rsid w:val="00DB5850"/>
    <w:rsid w:val="00DB5950"/>
    <w:rsid w:val="00DC2920"/>
    <w:rsid w:val="00DC2A54"/>
    <w:rsid w:val="00DC4AE9"/>
    <w:rsid w:val="00DD3E0F"/>
    <w:rsid w:val="00DD51D8"/>
    <w:rsid w:val="00DD5982"/>
    <w:rsid w:val="00DE4EED"/>
    <w:rsid w:val="00DE603F"/>
    <w:rsid w:val="00DF343F"/>
    <w:rsid w:val="00DF5C49"/>
    <w:rsid w:val="00E001D6"/>
    <w:rsid w:val="00E00B2C"/>
    <w:rsid w:val="00E13704"/>
    <w:rsid w:val="00E13F0F"/>
    <w:rsid w:val="00E17386"/>
    <w:rsid w:val="00E1CBA1"/>
    <w:rsid w:val="00E20824"/>
    <w:rsid w:val="00E2337E"/>
    <w:rsid w:val="00E30659"/>
    <w:rsid w:val="00E3098E"/>
    <w:rsid w:val="00E365B7"/>
    <w:rsid w:val="00E36E52"/>
    <w:rsid w:val="00E446D6"/>
    <w:rsid w:val="00E44C16"/>
    <w:rsid w:val="00E469FD"/>
    <w:rsid w:val="00E47AD9"/>
    <w:rsid w:val="00E47D32"/>
    <w:rsid w:val="00E50A39"/>
    <w:rsid w:val="00E52DAA"/>
    <w:rsid w:val="00E54C34"/>
    <w:rsid w:val="00E54E06"/>
    <w:rsid w:val="00E54F64"/>
    <w:rsid w:val="00E6330C"/>
    <w:rsid w:val="00E6472D"/>
    <w:rsid w:val="00E655DC"/>
    <w:rsid w:val="00E6754C"/>
    <w:rsid w:val="00E70AFE"/>
    <w:rsid w:val="00E72819"/>
    <w:rsid w:val="00E8374F"/>
    <w:rsid w:val="00E83F4C"/>
    <w:rsid w:val="00E853E4"/>
    <w:rsid w:val="00E86D46"/>
    <w:rsid w:val="00E95601"/>
    <w:rsid w:val="00E96850"/>
    <w:rsid w:val="00E96E14"/>
    <w:rsid w:val="00E97786"/>
    <w:rsid w:val="00EA01FA"/>
    <w:rsid w:val="00EA19FB"/>
    <w:rsid w:val="00EA2D33"/>
    <w:rsid w:val="00EA6623"/>
    <w:rsid w:val="00EB2FBC"/>
    <w:rsid w:val="00EB4137"/>
    <w:rsid w:val="00EB5C53"/>
    <w:rsid w:val="00EB7F57"/>
    <w:rsid w:val="00EC0AA4"/>
    <w:rsid w:val="00EC0D48"/>
    <w:rsid w:val="00EC3AC5"/>
    <w:rsid w:val="00EC41E9"/>
    <w:rsid w:val="00ED053B"/>
    <w:rsid w:val="00ED45BC"/>
    <w:rsid w:val="00ED4D20"/>
    <w:rsid w:val="00ED4F86"/>
    <w:rsid w:val="00ED5F1E"/>
    <w:rsid w:val="00ED6B27"/>
    <w:rsid w:val="00ED720C"/>
    <w:rsid w:val="00EE1EA1"/>
    <w:rsid w:val="00EE350C"/>
    <w:rsid w:val="00EE3693"/>
    <w:rsid w:val="00EF0AAB"/>
    <w:rsid w:val="00EF27BB"/>
    <w:rsid w:val="00EF58CF"/>
    <w:rsid w:val="00F0563C"/>
    <w:rsid w:val="00F0659C"/>
    <w:rsid w:val="00F077F8"/>
    <w:rsid w:val="00F113E9"/>
    <w:rsid w:val="00F128E9"/>
    <w:rsid w:val="00F20C12"/>
    <w:rsid w:val="00F24ABD"/>
    <w:rsid w:val="00F258F2"/>
    <w:rsid w:val="00F27F17"/>
    <w:rsid w:val="00F3058D"/>
    <w:rsid w:val="00F35A65"/>
    <w:rsid w:val="00F422F8"/>
    <w:rsid w:val="00F432DF"/>
    <w:rsid w:val="00F50C94"/>
    <w:rsid w:val="00F521AD"/>
    <w:rsid w:val="00F521B7"/>
    <w:rsid w:val="00F529C1"/>
    <w:rsid w:val="00F60621"/>
    <w:rsid w:val="00F6708F"/>
    <w:rsid w:val="00F6724E"/>
    <w:rsid w:val="00F679DF"/>
    <w:rsid w:val="00F71B11"/>
    <w:rsid w:val="00F74514"/>
    <w:rsid w:val="00F75A0C"/>
    <w:rsid w:val="00F76D16"/>
    <w:rsid w:val="00F76FE6"/>
    <w:rsid w:val="00F81801"/>
    <w:rsid w:val="00F87B1D"/>
    <w:rsid w:val="00F87C15"/>
    <w:rsid w:val="00F90010"/>
    <w:rsid w:val="00F90620"/>
    <w:rsid w:val="00F923CB"/>
    <w:rsid w:val="00F940A1"/>
    <w:rsid w:val="00F94521"/>
    <w:rsid w:val="00F97EBE"/>
    <w:rsid w:val="00FA15B7"/>
    <w:rsid w:val="00FA3285"/>
    <w:rsid w:val="00FA4F78"/>
    <w:rsid w:val="00FA720A"/>
    <w:rsid w:val="00FB1DEA"/>
    <w:rsid w:val="00FB4554"/>
    <w:rsid w:val="00FB5812"/>
    <w:rsid w:val="00FC0556"/>
    <w:rsid w:val="00FC1B61"/>
    <w:rsid w:val="00FC3906"/>
    <w:rsid w:val="00FC6350"/>
    <w:rsid w:val="00FC7C77"/>
    <w:rsid w:val="00FD2235"/>
    <w:rsid w:val="00FD73E3"/>
    <w:rsid w:val="00FD7D0B"/>
    <w:rsid w:val="00FE2639"/>
    <w:rsid w:val="00FE3575"/>
    <w:rsid w:val="00FE5EE4"/>
    <w:rsid w:val="00FE6FE4"/>
    <w:rsid w:val="00FE7464"/>
    <w:rsid w:val="00FF20C4"/>
    <w:rsid w:val="00FF478D"/>
    <w:rsid w:val="017E7FE4"/>
    <w:rsid w:val="025C73AA"/>
    <w:rsid w:val="02897DA3"/>
    <w:rsid w:val="0523686E"/>
    <w:rsid w:val="084A53C2"/>
    <w:rsid w:val="0C0B335A"/>
    <w:rsid w:val="119D2BC7"/>
    <w:rsid w:val="161127CF"/>
    <w:rsid w:val="17796095"/>
    <w:rsid w:val="1ABE4926"/>
    <w:rsid w:val="24723106"/>
    <w:rsid w:val="2579B115"/>
    <w:rsid w:val="2C48A281"/>
    <w:rsid w:val="2FC56462"/>
    <w:rsid w:val="30AC26F6"/>
    <w:rsid w:val="31BE040E"/>
    <w:rsid w:val="360187E8"/>
    <w:rsid w:val="37BDB300"/>
    <w:rsid w:val="383E246A"/>
    <w:rsid w:val="39BC9B4D"/>
    <w:rsid w:val="3BD324EC"/>
    <w:rsid w:val="3D5E0D47"/>
    <w:rsid w:val="3EBDF503"/>
    <w:rsid w:val="43820FDD"/>
    <w:rsid w:val="439E301E"/>
    <w:rsid w:val="453B6C6E"/>
    <w:rsid w:val="46B52E76"/>
    <w:rsid w:val="47B96DBE"/>
    <w:rsid w:val="4F934428"/>
    <w:rsid w:val="51423E20"/>
    <w:rsid w:val="5363EB98"/>
    <w:rsid w:val="53F366AA"/>
    <w:rsid w:val="5960EA08"/>
    <w:rsid w:val="5B83CCE9"/>
    <w:rsid w:val="5D74AF1F"/>
    <w:rsid w:val="60208560"/>
    <w:rsid w:val="6D58653D"/>
    <w:rsid w:val="6DE59865"/>
    <w:rsid w:val="6E0937F1"/>
    <w:rsid w:val="7044C6B5"/>
    <w:rsid w:val="70F25A86"/>
    <w:rsid w:val="71164D5B"/>
    <w:rsid w:val="720C12BB"/>
    <w:rsid w:val="72E20DD5"/>
    <w:rsid w:val="789A405C"/>
    <w:rsid w:val="7907D9B6"/>
    <w:rsid w:val="7A29AE22"/>
    <w:rsid w:val="7A8CA605"/>
    <w:rsid w:val="7AB17970"/>
    <w:rsid w:val="7C6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798858"/>
  <w15:chartTrackingRefBased/>
  <w15:docId w15:val="{4BB1047D-E2A6-4F79-A793-9E54C768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DD"/>
  </w:style>
  <w:style w:type="paragraph" w:styleId="Titre1">
    <w:name w:val="heading 1"/>
    <w:basedOn w:val="Normal"/>
    <w:next w:val="Normal"/>
    <w:link w:val="Titre1Car"/>
    <w:uiPriority w:val="9"/>
    <w:qFormat/>
    <w:rsid w:val="00436AD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6AD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6ADD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6ADD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ADD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ADD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ADD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A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A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ADD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rsid w:val="00436ADD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436ADD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436ADD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36ADD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36ADD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36ADD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36AD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36ADD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36ADD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36ADD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A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36ADD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36AD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36ADD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52E18"/>
    <w:pPr>
      <w:ind w:left="720"/>
      <w:contextualSpacing/>
    </w:pPr>
  </w:style>
  <w:style w:type="character" w:styleId="Accentuationintense">
    <w:name w:val="Intense Emphasis"/>
    <w:uiPriority w:val="21"/>
    <w:qFormat/>
    <w:rsid w:val="00436ADD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ADD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ADD"/>
    <w:rPr>
      <w:color w:val="156082" w:themeColor="accent1"/>
      <w:sz w:val="24"/>
      <w:szCs w:val="24"/>
    </w:rPr>
  </w:style>
  <w:style w:type="character" w:styleId="Rfrenceintense">
    <w:name w:val="Intense Reference"/>
    <w:uiPriority w:val="32"/>
    <w:qFormat/>
    <w:rsid w:val="00436ADD"/>
    <w:rPr>
      <w:b/>
      <w:bCs/>
      <w:i/>
      <w:iCs/>
      <w:caps/>
      <w:color w:val="156082" w:themeColor="accent1"/>
    </w:rPr>
  </w:style>
  <w:style w:type="paragraph" w:styleId="En-tte">
    <w:name w:val="header"/>
    <w:basedOn w:val="Normal"/>
    <w:link w:val="En-tteCar"/>
    <w:uiPriority w:val="99"/>
    <w:unhideWhenUsed/>
    <w:rsid w:val="0097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B34"/>
  </w:style>
  <w:style w:type="paragraph" w:styleId="Pieddepage">
    <w:name w:val="footer"/>
    <w:basedOn w:val="Normal"/>
    <w:link w:val="PieddepageCar"/>
    <w:uiPriority w:val="99"/>
    <w:unhideWhenUsed/>
    <w:rsid w:val="0097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B3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0B34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0B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0B3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70B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0B34"/>
    <w:rPr>
      <w:color w:val="605E5C"/>
      <w:shd w:val="clear" w:color="auto" w:fill="E1DFDD"/>
    </w:rPr>
  </w:style>
  <w:style w:type="paragraph" w:customStyle="1" w:styleId="p1">
    <w:name w:val="p1"/>
    <w:basedOn w:val="Normal"/>
    <w:rsid w:val="00970B34"/>
    <w:pPr>
      <w:spacing w:beforeAutospacing="1" w:after="100" w:afterAutospacing="1" w:line="240" w:lineRule="auto"/>
    </w:pPr>
    <w:rPr>
      <w:rFonts w:ascii="Times New Roman" w:hAnsi="Times New Roman" w:cs="Times New Roman"/>
      <w:lang w:val="fr-BE" w:eastAsia="fr-FR"/>
    </w:rPr>
  </w:style>
  <w:style w:type="character" w:customStyle="1" w:styleId="s1">
    <w:name w:val="s1"/>
    <w:basedOn w:val="Policepardfaut"/>
    <w:rsid w:val="00970B34"/>
  </w:style>
  <w:style w:type="character" w:customStyle="1" w:styleId="s2">
    <w:name w:val="s2"/>
    <w:basedOn w:val="Policepardfaut"/>
    <w:rsid w:val="00970B34"/>
  </w:style>
  <w:style w:type="character" w:customStyle="1" w:styleId="s3">
    <w:name w:val="s3"/>
    <w:basedOn w:val="Policepardfaut"/>
    <w:rsid w:val="00970B34"/>
  </w:style>
  <w:style w:type="paragraph" w:customStyle="1" w:styleId="p3">
    <w:name w:val="p3"/>
    <w:basedOn w:val="Normal"/>
    <w:rsid w:val="00970B34"/>
    <w:pPr>
      <w:spacing w:beforeAutospacing="1" w:after="100" w:afterAutospacing="1" w:line="240" w:lineRule="auto"/>
    </w:pPr>
    <w:rPr>
      <w:rFonts w:ascii="Times New Roman" w:hAnsi="Times New Roman" w:cs="Times New Roman"/>
      <w:lang w:val="fr-BE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56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61B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C561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61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61B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8161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B37E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2-Accent2">
    <w:name w:val="Medium List 2 Accent 2"/>
    <w:basedOn w:val="TableauNormal"/>
    <w:uiPriority w:val="66"/>
    <w:rsid w:val="005B37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5B37ED"/>
    <w:rPr>
      <w:color w:val="2B579A"/>
      <w:shd w:val="clear" w:color="auto" w:fill="E1DFDD"/>
    </w:rPr>
  </w:style>
  <w:style w:type="table" w:styleId="TableauListe7Couleur-Accentuation4">
    <w:name w:val="List Table 7 Colorful Accent 4"/>
    <w:basedOn w:val="TableauNormal"/>
    <w:uiPriority w:val="52"/>
    <w:rsid w:val="00436AD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semiHidden/>
    <w:unhideWhenUsed/>
    <w:qFormat/>
    <w:rsid w:val="00436ADD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436ADD"/>
    <w:rPr>
      <w:b/>
      <w:bCs/>
    </w:rPr>
  </w:style>
  <w:style w:type="character" w:styleId="Accentuation">
    <w:name w:val="Emphasis"/>
    <w:uiPriority w:val="20"/>
    <w:qFormat/>
    <w:rsid w:val="00436ADD"/>
    <w:rPr>
      <w:caps/>
      <w:color w:val="0A2F40" w:themeColor="accent1" w:themeShade="7F"/>
      <w:spacing w:val="5"/>
    </w:rPr>
  </w:style>
  <w:style w:type="paragraph" w:styleId="Sansinterligne">
    <w:name w:val="No Spacing"/>
    <w:uiPriority w:val="1"/>
    <w:qFormat/>
    <w:rsid w:val="00436ADD"/>
    <w:pPr>
      <w:spacing w:after="0" w:line="240" w:lineRule="auto"/>
    </w:pPr>
  </w:style>
  <w:style w:type="character" w:styleId="Accentuationlgre">
    <w:name w:val="Subtle Emphasis"/>
    <w:uiPriority w:val="19"/>
    <w:qFormat/>
    <w:rsid w:val="00436ADD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436ADD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436AD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6ADD"/>
    <w:pPr>
      <w:outlineLvl w:val="9"/>
    </w:pPr>
  </w:style>
  <w:style w:type="table" w:styleId="TableauGrille1Clair">
    <w:name w:val="Grid Table 1 Light"/>
    <w:basedOn w:val="TableauNormal"/>
    <w:uiPriority w:val="46"/>
    <w:rsid w:val="0000744E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6A0BAF"/>
    <w:pPr>
      <w:spacing w:before="0"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6A0BAF"/>
  </w:style>
  <w:style w:type="character" w:styleId="Appeldenotedefin">
    <w:name w:val="endnote reference"/>
    <w:basedOn w:val="Policepardfaut"/>
    <w:uiPriority w:val="99"/>
    <w:semiHidden/>
    <w:unhideWhenUsed/>
    <w:rsid w:val="006A0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svg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commentsExtended" Target="commentsExtended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omments" Target="comments.xml"/><Relationship Id="rId28" Type="http://schemas.openxmlformats.org/officeDocument/2006/relationships/hyperlink" Target="https://finances.belgium.be/sites/default/files/thesaurie/ubo/20250220_FAQ_UBO_FR_0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s://view.officeapps.live.com/op/view.aspx?src=https%3A%2F%2Feurope.wallonie.be%2Ffiles%2FAnnexe2_Fiche%2520rapide_Introduction%2520des%2520march%25c3%25a9s%2520publics.docx&amp;wdOrigin=BROWSELINK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FR/TXT/PDF/?uri=CELEX:32021R0241" TargetMode="External"/><Relationship Id="rId1" Type="http://schemas.openxmlformats.org/officeDocument/2006/relationships/hyperlink" Target="https://europe.wallonie.be/sites/default/files/2024-07/GENERAL_2021_1060_CONSOLIDE_30juin202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B330D62666499CDBFD8A88FB2B73" ma:contentTypeVersion="19" ma:contentTypeDescription="Crée un document." ma:contentTypeScope="" ma:versionID="267b3956f662e312cbc3840c772e5ae9">
  <xsd:schema xmlns:xsd="http://www.w3.org/2001/XMLSchema" xmlns:xs="http://www.w3.org/2001/XMLSchema" xmlns:p="http://schemas.microsoft.com/office/2006/metadata/properties" xmlns:ns2="b5496173-0a78-4122-a881-2ea0b0fc7cd9" xmlns:ns3="1d722821-b4d1-4d8d-b0ec-0260fd925266" targetNamespace="http://schemas.microsoft.com/office/2006/metadata/properties" ma:root="true" ma:fieldsID="f9c4442a142fef1053c1f8fe17be2197" ns2:_="" ns3:_="">
    <xsd:import namespace="b5496173-0a78-4122-a881-2ea0b0fc7cd9"/>
    <xsd:import namespace="1d722821-b4d1-4d8d-b0ec-0260fd92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_x00e9_riode_x0020_FBT" minOccurs="0"/>
                <xsd:element ref="ns2:Agent" minOccurs="0"/>
                <xsd:element ref="ns2:Type_x0020_de_x0020_document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96173-0a78-4122-a881-2ea0b0fc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_x00e9_riode_x0020_FBT" ma:index="16" nillable="true" ma:displayName="Période FBT" ma:format="Dropdown" ma:internalName="P_x00e9_riode_x0020_FBT">
      <xsd:simpleType>
        <xsd:restriction base="dms:Choice">
          <xsd:enumeration value="2020/4"/>
          <xsd:enumeration value="2021/1"/>
        </xsd:restriction>
      </xsd:simpleType>
    </xsd:element>
    <xsd:element name="Agent" ma:index="17" nillable="true" ma:displayName="Agent" ma:list="UserInfo" ma:SharePointGroup="0" ma:internalName="Ag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e_x0020_document" ma:index="18" nillable="true" ma:displayName="Type de document" ma:default="Contrôle qualité" ma:format="Dropdown" ma:internalName="Type_x0020_de_x0020_document">
      <xsd:simpleType>
        <xsd:restriction base="dms:Choice">
          <xsd:enumeration value="Contrôle qualité"/>
          <xsd:enumeration value="FBT global"/>
          <xsd:enumeration value="Echantillon"/>
          <xsd:enumeration value="Suivi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22821-b4d1-4d8d-b0ec-0260fd925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d964a7-6b2c-4cac-bc7f-3a0c4d26a9bb}" ma:internalName="TaxCatchAll" ma:showField="CatchAllData" ma:web="1d722821-b4d1-4d8d-b0ec-0260fd92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9_riode_x0020_FBT xmlns="b5496173-0a78-4122-a881-2ea0b0fc7cd9" xsi:nil="true"/>
    <Type_x0020_de_x0020_document xmlns="b5496173-0a78-4122-a881-2ea0b0fc7cd9">Contrôle qualité</Type_x0020_de_x0020_document>
    <TaxCatchAll xmlns="1d722821-b4d1-4d8d-b0ec-0260fd925266" xsi:nil="true"/>
    <lcf76f155ced4ddcb4097134ff3c332f xmlns="b5496173-0a78-4122-a881-2ea0b0fc7cd9">
      <Terms xmlns="http://schemas.microsoft.com/office/infopath/2007/PartnerControls"/>
    </lcf76f155ced4ddcb4097134ff3c332f>
    <Agent xmlns="b5496173-0a78-4122-a881-2ea0b0fc7cd9">
      <UserInfo>
        <DisplayName/>
        <AccountId xsi:nil="true"/>
        <AccountType/>
      </UserInfo>
    </Ag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C069-936E-4216-8031-716714E0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96173-0a78-4122-a881-2ea0b0fc7cd9"/>
    <ds:schemaRef ds:uri="1d722821-b4d1-4d8d-b0ec-0260fd925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B487F-C021-4411-8E33-21BB0A082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D7D65-7F01-45F0-8C93-390F310D8B24}">
  <ds:schemaRefs>
    <ds:schemaRef ds:uri="http://schemas.microsoft.com/office/2006/metadata/properties"/>
    <ds:schemaRef ds:uri="http://schemas.microsoft.com/office/infopath/2007/PartnerControls"/>
    <ds:schemaRef ds:uri="b5496173-0a78-4122-a881-2ea0b0fc7cd9"/>
    <ds:schemaRef ds:uri="1d722821-b4d1-4d8d-b0ec-0260fd925266"/>
  </ds:schemaRefs>
</ds:datastoreItem>
</file>

<file path=customXml/itemProps4.xml><?xml version="1.0" encoding="utf-8"?>
<ds:datastoreItem xmlns:ds="http://schemas.openxmlformats.org/officeDocument/2006/customXml" ds:itemID="{66540D94-438C-4C08-8A4C-A24CF694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1506</Words>
  <Characters>8287</Characters>
  <Application>Microsoft Office Word</Application>
  <DocSecurity>4</DocSecurity>
  <Lines>69</Lines>
  <Paragraphs>19</Paragraphs>
  <ScaleCrop>false</ScaleCrop>
  <Company/>
  <LinksUpToDate>false</LinksUpToDate>
  <CharactersWithSpaces>9774</CharactersWithSpaces>
  <SharedDoc>false</SharedDoc>
  <HLinks>
    <vt:vector size="12" baseType="variant"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https://eur-lex.europa.eu/legal-content/FR/TXT/PDF/?uri=CELEX:32021R0241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https://europe.wallonie.be/sites/default/files/2024-07/GENERAL_2021_1060_CONSOLIDE_30juin2024.pdf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GUILLITTE Hélène</dc:creator>
  <cp:keywords/>
  <dc:description/>
  <cp:lastModifiedBy>COGNIAUX Aurore</cp:lastModifiedBy>
  <cp:revision>2</cp:revision>
  <dcterms:created xsi:type="dcterms:W3CDTF">2025-08-29T18:32:00Z</dcterms:created>
  <dcterms:modified xsi:type="dcterms:W3CDTF">2025-08-29T18:32:00Z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2025-06-10T12:19:37Z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9ddc4148-4aae-48d8-854a-3ad62e8f671d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0x010100BFA9B330D62666499CDBFD8A88FB2B73</vt:lpwstr>
  </property>
</Properties>
</file>